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AE248" w14:textId="77777777" w:rsidR="00234B3E" w:rsidRDefault="001C064D">
      <w:pPr>
        <w:widowControl w:val="0"/>
        <w:tabs>
          <w:tab w:val="left" w:pos="9071"/>
        </w:tabs>
        <w:spacing w:after="0"/>
        <w:ind w:left="114"/>
        <w:jc w:val="center"/>
        <w:rPr>
          <w:rFonts w:ascii="Times New Roman" w:hAnsi="Times New Roman" w:cs="Times New Roman"/>
          <w:sz w:val="24"/>
          <w:lang w:val="pt-PT"/>
        </w:rPr>
      </w:pPr>
      <w:r>
        <w:rPr>
          <w:noProof/>
        </w:rPr>
        <w:drawing>
          <wp:inline distT="0" distB="0" distL="0" distR="0" wp14:anchorId="7082BCDE" wp14:editId="629487C8">
            <wp:extent cx="797560" cy="8509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85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7DAD7" w14:textId="77777777" w:rsidR="00234B3E" w:rsidRDefault="001C064D">
      <w:pPr>
        <w:widowControl w:val="0"/>
        <w:spacing w:after="0" w:line="216" w:lineRule="auto"/>
        <w:jc w:val="center"/>
        <w:rPr>
          <w:rFonts w:ascii="Times New Roman" w:hAnsi="Times New Roman" w:cs="Times New Roman"/>
          <w:b/>
          <w:sz w:val="24"/>
          <w:lang w:val="pt-PT"/>
        </w:rPr>
      </w:pPr>
      <w:r>
        <w:rPr>
          <w:rFonts w:ascii="Times New Roman" w:hAnsi="Times New Roman" w:cs="Times New Roman"/>
          <w:b/>
          <w:sz w:val="24"/>
          <w:lang w:val="pt-PT"/>
        </w:rPr>
        <w:t>MINISTÉRIO DA DEFESA</w:t>
      </w:r>
    </w:p>
    <w:p w14:paraId="19B35F85" w14:textId="77777777" w:rsidR="00234B3E" w:rsidRDefault="001C064D">
      <w:pPr>
        <w:widowControl w:val="0"/>
        <w:spacing w:after="0" w:line="216" w:lineRule="auto"/>
        <w:jc w:val="center"/>
        <w:rPr>
          <w:rFonts w:ascii="Times New Roman" w:hAnsi="Times New Roman" w:cs="Times New Roman"/>
          <w:b/>
          <w:sz w:val="24"/>
          <w:lang w:val="pt-PT"/>
        </w:rPr>
      </w:pPr>
      <w:r>
        <w:rPr>
          <w:rFonts w:ascii="Times New Roman" w:hAnsi="Times New Roman" w:cs="Times New Roman"/>
          <w:b/>
          <w:sz w:val="24"/>
          <w:lang w:val="pt-PT"/>
        </w:rPr>
        <w:t>EXÉRCITO BRASILEIRO</w:t>
      </w:r>
    </w:p>
    <w:p w14:paraId="11643CFF" w14:textId="77777777" w:rsidR="00234B3E" w:rsidRDefault="001C064D">
      <w:pPr>
        <w:widowControl w:val="0"/>
        <w:spacing w:after="0" w:line="216" w:lineRule="auto"/>
        <w:jc w:val="center"/>
        <w:rPr>
          <w:rFonts w:ascii="Times New Roman" w:hAnsi="Times New Roman" w:cs="Times New Roman"/>
          <w:b/>
          <w:sz w:val="24"/>
          <w:lang w:val="pt-PT"/>
        </w:rPr>
      </w:pPr>
      <w:r>
        <w:rPr>
          <w:rFonts w:ascii="Times New Roman" w:hAnsi="Times New Roman" w:cs="Times New Roman"/>
          <w:b/>
          <w:sz w:val="24"/>
          <w:lang w:val="pt-PT"/>
        </w:rPr>
        <w:t>DEPARTAMENTO DE CIENCIA E TECNOLOGIA</w:t>
      </w:r>
    </w:p>
    <w:p w14:paraId="4D84C7A5" w14:textId="77777777" w:rsidR="00234B3E" w:rsidRDefault="001C064D">
      <w:pPr>
        <w:widowControl w:val="0"/>
        <w:spacing w:after="0" w:line="216" w:lineRule="auto"/>
        <w:jc w:val="center"/>
        <w:rPr>
          <w:rFonts w:ascii="Times New Roman" w:hAnsi="Times New Roman" w:cs="Times New Roman"/>
          <w:b/>
          <w:bCs/>
          <w:sz w:val="24"/>
          <w:lang w:val="pt-PT"/>
        </w:rPr>
      </w:pPr>
      <w:r>
        <w:rPr>
          <w:rFonts w:ascii="Times New Roman" w:hAnsi="Times New Roman" w:cs="Times New Roman"/>
          <w:b/>
          <w:bCs/>
          <w:sz w:val="24"/>
          <w:lang w:val="pt-PT"/>
        </w:rPr>
        <w:t>CENTRO TECNOLÓGICO DO EXÉRCITO</w:t>
      </w:r>
    </w:p>
    <w:p w14:paraId="79EBE9F1" w14:textId="77777777" w:rsidR="00234B3E" w:rsidRDefault="001C064D">
      <w:pPr>
        <w:widowControl w:val="0"/>
        <w:spacing w:after="0" w:line="216" w:lineRule="auto"/>
        <w:jc w:val="center"/>
        <w:rPr>
          <w:rFonts w:ascii="Times New Roman" w:hAnsi="Times New Roman" w:cs="Arial"/>
          <w:b/>
          <w:bCs/>
          <w:sz w:val="24"/>
          <w:lang w:val="pt-PT"/>
        </w:rPr>
      </w:pPr>
      <w:r>
        <w:rPr>
          <w:rFonts w:ascii="Times New Roman" w:hAnsi="Times New Roman" w:cs="Arial"/>
          <w:b/>
          <w:bCs/>
          <w:color w:val="000000"/>
          <w:sz w:val="24"/>
          <w:lang w:val="pt-PT"/>
        </w:rPr>
        <w:t>CENTRO TECNOLÓGICO GENERAL ARGUS</w:t>
      </w:r>
      <w:bookmarkStart w:id="0" w:name="_Hlk81386706"/>
      <w:bookmarkEnd w:id="0"/>
    </w:p>
    <w:p w14:paraId="6A7ABD0E" w14:textId="77777777" w:rsidR="00234B3E" w:rsidRDefault="00234B3E">
      <w:pPr>
        <w:spacing w:after="0" w:line="276" w:lineRule="auto"/>
        <w:jc w:val="center"/>
        <w:rPr>
          <w:rFonts w:cs="Arial"/>
          <w:b/>
          <w:bCs/>
          <w:color w:val="000000" w:themeColor="text1"/>
          <w:szCs w:val="20"/>
        </w:rPr>
      </w:pPr>
    </w:p>
    <w:p w14:paraId="01B3C1B1" w14:textId="77777777" w:rsidR="00234B3E" w:rsidRDefault="001C064D">
      <w:pPr>
        <w:spacing w:after="0" w:line="276" w:lineRule="auto"/>
        <w:jc w:val="center"/>
        <w:rPr>
          <w:rFonts w:cs="Arial"/>
          <w:b/>
          <w:bCs/>
          <w:color w:val="000000" w:themeColor="text1"/>
          <w:szCs w:val="20"/>
        </w:rPr>
      </w:pPr>
      <w:r>
        <w:rPr>
          <w:rFonts w:cs="Arial"/>
          <w:b/>
          <w:bCs/>
          <w:color w:val="000000" w:themeColor="text1"/>
          <w:szCs w:val="20"/>
        </w:rPr>
        <w:t>TERMO DE REFERÊNCIA</w:t>
      </w:r>
    </w:p>
    <w:p w14:paraId="681A6396" w14:textId="77777777" w:rsidR="00234B3E" w:rsidRPr="001C064D" w:rsidRDefault="001C064D">
      <w:pPr>
        <w:spacing w:after="0" w:line="276" w:lineRule="auto"/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color w:val="000000" w:themeColor="text1"/>
          <w:szCs w:val="20"/>
        </w:rPr>
        <w:t>Dispensa Eletrônica Nº</w:t>
      </w:r>
      <w:r>
        <w:rPr>
          <w:rFonts w:cs="Arial"/>
          <w:b/>
          <w:bCs/>
          <w:szCs w:val="20"/>
        </w:rPr>
        <w:t xml:space="preserve"> 010/2023</w:t>
      </w:r>
    </w:p>
    <w:p w14:paraId="576B6BDA" w14:textId="7B3836EF" w:rsidR="00234B3E" w:rsidRDefault="001C064D">
      <w:pPr>
        <w:spacing w:after="0" w:line="276" w:lineRule="auto"/>
        <w:ind w:right="-15"/>
        <w:jc w:val="center"/>
        <w:rPr>
          <w:rFonts w:cs="Arial"/>
          <w:b/>
          <w:bCs/>
          <w:color w:val="000000"/>
          <w:szCs w:val="20"/>
        </w:rPr>
      </w:pPr>
      <w:r w:rsidRPr="001C064D">
        <w:rPr>
          <w:rFonts w:cs="Arial"/>
          <w:b/>
          <w:bCs/>
          <w:szCs w:val="20"/>
        </w:rPr>
        <w:t xml:space="preserve">(Processo Administrativo n. º </w:t>
      </w:r>
      <w:r w:rsidRPr="001C064D">
        <w:rPr>
          <w:rFonts w:cs="Arial"/>
          <w:b/>
          <w:bCs/>
          <w:szCs w:val="20"/>
        </w:rPr>
        <w:t xml:space="preserve"> 64219.002664</w:t>
      </w:r>
      <w:r w:rsidRPr="001C064D">
        <w:rPr>
          <w:rFonts w:cs="Arial"/>
          <w:b/>
          <w:bCs/>
          <w:szCs w:val="20"/>
        </w:rPr>
        <w:t>/2023-35</w:t>
      </w:r>
      <w:r>
        <w:rPr>
          <w:rFonts w:cs="Arial"/>
          <w:b/>
          <w:bCs/>
          <w:color w:val="000000" w:themeColor="text1"/>
          <w:szCs w:val="20"/>
        </w:rPr>
        <w:t>)</w:t>
      </w:r>
    </w:p>
    <w:p w14:paraId="4F156C6D" w14:textId="77777777" w:rsidR="00234B3E" w:rsidRDefault="00234B3E">
      <w:pPr>
        <w:spacing w:after="0" w:line="276" w:lineRule="auto"/>
        <w:jc w:val="center"/>
        <w:rPr>
          <w:rFonts w:ascii="Arial" w:hAnsi="Arial" w:cs="Arial"/>
          <w:b/>
          <w:bCs/>
          <w:i/>
          <w:color w:val="FF0000"/>
          <w:sz w:val="20"/>
          <w:szCs w:val="20"/>
        </w:rPr>
      </w:pPr>
    </w:p>
    <w:p w14:paraId="03ED7076" w14:textId="77777777" w:rsidR="00234B3E" w:rsidRDefault="001C064D">
      <w:pPr>
        <w:pStyle w:val="Nivel1"/>
        <w:numPr>
          <w:ilvl w:val="0"/>
          <w:numId w:val="3"/>
        </w:numPr>
        <w:spacing w:before="0" w:after="0"/>
        <w:rPr>
          <w:sz w:val="20"/>
          <w:szCs w:val="20"/>
        </w:rPr>
      </w:pPr>
      <w:r>
        <w:rPr>
          <w:bCs/>
          <w:sz w:val="20"/>
          <w:szCs w:val="20"/>
        </w:rPr>
        <w:t>DAS CONDIÇÕES GERAIS DA CONTRATAÇÃO (art. 6º, XXIII, “a” e “i”</w:t>
      </w:r>
      <w:r>
        <w:rPr>
          <w:sz w:val="20"/>
          <w:szCs w:val="20"/>
        </w:rPr>
        <w:t xml:space="preserve"> da Lei n. 14.133/2021).</w:t>
      </w:r>
    </w:p>
    <w:p w14:paraId="470010B2" w14:textId="77777777" w:rsidR="00234B3E" w:rsidRDefault="00234B3E">
      <w:pPr>
        <w:pStyle w:val="PargrafodaLista"/>
        <w:spacing w:after="0" w:line="276" w:lineRule="auto"/>
        <w:ind w:left="716"/>
        <w:jc w:val="both"/>
        <w:rPr>
          <w:rFonts w:ascii="Arial" w:hAnsi="Arial" w:cs="Arial"/>
          <w:b/>
          <w:iCs/>
          <w:sz w:val="20"/>
          <w:szCs w:val="20"/>
        </w:rPr>
      </w:pPr>
    </w:p>
    <w:p w14:paraId="688D4E7C" w14:textId="77777777" w:rsidR="00234B3E" w:rsidRDefault="001C064D" w:rsidP="001C064D">
      <w:pPr>
        <w:pStyle w:val="Pargrafoda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Aquisição de </w:t>
      </w:r>
      <w:r>
        <w:rPr>
          <w:rFonts w:ascii="Arial" w:eastAsia="Calibri" w:hAnsi="Arial" w:cs="Arial"/>
          <w:iCs/>
          <w:color w:val="000000" w:themeColor="text1"/>
          <w:sz w:val="20"/>
          <w:szCs w:val="20"/>
        </w:rPr>
        <w:t>poste de concreto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iCs/>
          <w:sz w:val="20"/>
          <w:szCs w:val="20"/>
        </w:rPr>
        <w:t>,</w:t>
      </w:r>
      <w:r>
        <w:rPr>
          <w:rFonts w:ascii="Arial" w:hAnsi="Arial" w:cs="Arial"/>
          <w:iCs/>
          <w:sz w:val="20"/>
          <w:szCs w:val="20"/>
        </w:rPr>
        <w:t xml:space="preserve"> nos termos da tabela abaixo, conforme condições e exigências estabelecidas neste instrumento.</w:t>
      </w:r>
    </w:p>
    <w:p w14:paraId="1008D260" w14:textId="77777777" w:rsidR="00234B3E" w:rsidRDefault="00234B3E">
      <w:pPr>
        <w:pStyle w:val="PargrafodaLista"/>
        <w:spacing w:after="0" w:line="276" w:lineRule="auto"/>
        <w:jc w:val="both"/>
        <w:rPr>
          <w:rFonts w:ascii="Arial" w:hAnsi="Arial" w:cs="Arial"/>
          <w:b/>
          <w:iCs/>
          <w:sz w:val="20"/>
          <w:szCs w:val="20"/>
        </w:rPr>
      </w:pPr>
    </w:p>
    <w:tbl>
      <w:tblPr>
        <w:tblW w:w="9865" w:type="dxa"/>
        <w:tblInd w:w="14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"/>
        <w:gridCol w:w="4418"/>
        <w:gridCol w:w="1074"/>
        <w:gridCol w:w="796"/>
        <w:gridCol w:w="1361"/>
        <w:gridCol w:w="1246"/>
      </w:tblGrid>
      <w:tr w:rsidR="00234B3E" w14:paraId="72EFF72F" w14:textId="77777777">
        <w:trPr>
          <w:tblHeader/>
        </w:trPr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D7B72DC" w14:textId="77777777" w:rsidR="00234B3E" w:rsidRDefault="001C064D">
            <w:pPr>
              <w:pStyle w:val="Ttulo4"/>
              <w:widowControl w:val="0"/>
              <w:numPr>
                <w:ilvl w:val="3"/>
                <w:numId w:val="2"/>
              </w:numPr>
              <w:suppressAutoHyphens w:val="0"/>
              <w:jc w:val="center"/>
              <w:rPr>
                <w:rFonts w:ascii="Calibri" w:hAnsi="Calibri"/>
                <w:b/>
                <w:bCs/>
                <w:i w:val="0"/>
                <w:iCs w:val="0"/>
                <w:color w:val="auto"/>
              </w:rPr>
            </w:pPr>
            <w:r>
              <w:rPr>
                <w:rFonts w:ascii="Calibri" w:hAnsi="Calibri"/>
                <w:b/>
                <w:bCs/>
                <w:i w:val="0"/>
                <w:iCs w:val="0"/>
                <w:color w:val="auto"/>
              </w:rPr>
              <w:t>Item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3F22E6C" w14:textId="77777777" w:rsidR="00234B3E" w:rsidRDefault="001C064D">
            <w:pPr>
              <w:pStyle w:val="Ttulo4"/>
              <w:widowControl w:val="0"/>
              <w:numPr>
                <w:ilvl w:val="3"/>
                <w:numId w:val="2"/>
              </w:numPr>
              <w:jc w:val="center"/>
              <w:rPr>
                <w:rFonts w:ascii="Calibri" w:hAnsi="Calibri"/>
                <w:b/>
                <w:bCs/>
                <w:i w:val="0"/>
                <w:iCs w:val="0"/>
                <w:color w:val="auto"/>
              </w:rPr>
            </w:pPr>
            <w:r>
              <w:rPr>
                <w:rFonts w:ascii="Calibri" w:hAnsi="Calibri"/>
                <w:b/>
                <w:bCs/>
                <w:i w:val="0"/>
                <w:iCs w:val="0"/>
                <w:color w:val="auto"/>
              </w:rPr>
              <w:t>Discriminação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3CEBD088" w14:textId="77777777" w:rsidR="00234B3E" w:rsidRDefault="001C064D">
            <w:pPr>
              <w:pStyle w:val="Ttulo4"/>
              <w:widowControl w:val="0"/>
              <w:numPr>
                <w:ilvl w:val="3"/>
                <w:numId w:val="2"/>
              </w:numPr>
              <w:jc w:val="center"/>
              <w:rPr>
                <w:rFonts w:ascii="Calibri" w:hAnsi="Calibri"/>
                <w:b/>
                <w:bCs/>
                <w:i w:val="0"/>
                <w:iCs w:val="0"/>
                <w:color w:val="auto"/>
              </w:rPr>
            </w:pPr>
            <w:r>
              <w:rPr>
                <w:rFonts w:ascii="Calibri" w:hAnsi="Calibri"/>
                <w:b/>
                <w:bCs/>
                <w:i w:val="0"/>
                <w:iCs w:val="0"/>
                <w:color w:val="auto"/>
              </w:rPr>
              <w:t>Und Fornecimento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3DABCF71" w14:textId="77777777" w:rsidR="00234B3E" w:rsidRDefault="001C064D">
            <w:pPr>
              <w:pStyle w:val="Ttulo4"/>
              <w:widowControl w:val="0"/>
              <w:numPr>
                <w:ilvl w:val="3"/>
                <w:numId w:val="2"/>
              </w:numPr>
              <w:jc w:val="center"/>
              <w:rPr>
                <w:rFonts w:ascii="Calibri" w:hAnsi="Calibri"/>
                <w:b/>
                <w:bCs/>
                <w:i w:val="0"/>
                <w:iCs w:val="0"/>
                <w:color w:val="auto"/>
              </w:rPr>
            </w:pPr>
            <w:r>
              <w:rPr>
                <w:rFonts w:ascii="Calibri" w:hAnsi="Calibri"/>
                <w:b/>
                <w:bCs/>
                <w:i w:val="0"/>
                <w:iCs w:val="0"/>
                <w:color w:val="auto"/>
              </w:rPr>
              <w:t>Qtd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0341FA52" w14:textId="77777777" w:rsidR="00234B3E" w:rsidRDefault="001C064D">
            <w:pPr>
              <w:pStyle w:val="Ttulo4"/>
              <w:widowControl w:val="0"/>
              <w:numPr>
                <w:ilvl w:val="3"/>
                <w:numId w:val="2"/>
              </w:numPr>
              <w:jc w:val="center"/>
              <w:rPr>
                <w:rFonts w:ascii="Calibri" w:hAnsi="Calibri"/>
                <w:b/>
                <w:bCs/>
                <w:i w:val="0"/>
                <w:iCs w:val="0"/>
                <w:color w:val="auto"/>
              </w:rPr>
            </w:pPr>
            <w:r>
              <w:rPr>
                <w:rFonts w:ascii="Calibri" w:hAnsi="Calibri"/>
                <w:b/>
                <w:bCs/>
                <w:i w:val="0"/>
                <w:iCs w:val="0"/>
                <w:color w:val="auto"/>
              </w:rPr>
              <w:t>Valor Unit (R$)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2CCE38" w14:textId="77777777" w:rsidR="00234B3E" w:rsidRDefault="001C064D">
            <w:pPr>
              <w:pStyle w:val="Ttulo2"/>
              <w:widowControl w:val="0"/>
              <w:numPr>
                <w:ilvl w:val="1"/>
                <w:numId w:val="2"/>
              </w:numPr>
              <w:ind w:right="-70"/>
              <w:jc w:val="center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Valor Total (R$)</w:t>
            </w:r>
          </w:p>
        </w:tc>
      </w:tr>
      <w:tr w:rsidR="00234B3E" w14:paraId="34F9B99F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AEAC9CB" w14:textId="77777777" w:rsidR="00234B3E" w:rsidRDefault="001C064D">
            <w:pPr>
              <w:pStyle w:val="Contedodatabela"/>
              <w:widowControl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C4C7D8A" w14:textId="77777777" w:rsidR="00234B3E" w:rsidRDefault="001C064D">
            <w:pPr>
              <w:pStyle w:val="Contedodatabela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POSTE DE CONCRETO CIRCULAR 9,0 METROS- 600 DAN - PARA MÉDIA TENSÃO – TOPO 20 CM </w:t>
            </w:r>
            <w:r>
              <w:rPr>
                <w:color w:val="000000"/>
                <w:sz w:val="20"/>
                <w:szCs w:val="20"/>
              </w:rPr>
              <w:t>BASA 38 CM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3D78D64C" w14:textId="77777777" w:rsidR="00234B3E" w:rsidRDefault="001C064D">
            <w:pPr>
              <w:pStyle w:val="Contedodatabela"/>
              <w:widowControl w:val="0"/>
              <w:jc w:val="center"/>
              <w:rPr>
                <w:rFonts w:ascii="Arial" w:hAnsi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lang w:eastAsia="zh-CN"/>
              </w:rPr>
              <w:t>UND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5FC2002B" w14:textId="77777777" w:rsidR="00234B3E" w:rsidRDefault="001C064D">
            <w:pPr>
              <w:pStyle w:val="Contedodatabela"/>
              <w:widowControl w:val="0"/>
              <w:jc w:val="center"/>
              <w:rPr>
                <w:rFonts w:ascii="Arial" w:hAnsi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308D544E" w14:textId="77777777" w:rsidR="00234B3E" w:rsidRDefault="001C064D">
            <w:pPr>
              <w:pStyle w:val="Contedodatabela"/>
              <w:widowControl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R$ </w:t>
            </w:r>
            <w:r>
              <w:rPr>
                <w:rFonts w:ascii="Arial" w:hAnsi="Arial"/>
                <w:color w:val="000000"/>
                <w:sz w:val="20"/>
                <w:szCs w:val="20"/>
                <w:lang w:eastAsia="zh-CN"/>
              </w:rPr>
              <w:t>3.400,00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E7F048" w14:textId="77777777" w:rsidR="00234B3E" w:rsidRDefault="001C064D">
            <w:pPr>
              <w:pStyle w:val="Contedodatabela"/>
              <w:widowControl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R$ </w:t>
            </w:r>
            <w:r>
              <w:rPr>
                <w:rFonts w:ascii="Arial" w:eastAsia="Calibri" w:hAnsi="Arial"/>
                <w:color w:val="000000"/>
                <w:sz w:val="20"/>
                <w:szCs w:val="20"/>
                <w:lang w:eastAsia="zh-CN"/>
              </w:rPr>
              <w:t>20.400,00</w:t>
            </w:r>
          </w:p>
        </w:tc>
      </w:tr>
      <w:tr w:rsidR="00234B3E" w14:paraId="32EC5048" w14:textId="77777777">
        <w:tc>
          <w:tcPr>
            <w:tcW w:w="86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" w:type="dxa"/>
              <w:right w:w="10" w:type="dxa"/>
            </w:tcMar>
          </w:tcPr>
          <w:p w14:paraId="6B52DCD4" w14:textId="77777777" w:rsidR="00234B3E" w:rsidRDefault="001C064D">
            <w:pPr>
              <w:pStyle w:val="Ttulo4"/>
              <w:widowControl w:val="0"/>
              <w:numPr>
                <w:ilvl w:val="3"/>
                <w:numId w:val="2"/>
              </w:numPr>
              <w:ind w:right="72"/>
              <w:jc w:val="center"/>
              <w:rPr>
                <w:rFonts w:ascii="Calibri" w:hAnsi="Calibri"/>
                <w:b/>
                <w:bCs/>
                <w:i w:val="0"/>
                <w:iCs w:val="0"/>
                <w:color w:val="auto"/>
              </w:rPr>
            </w:pPr>
            <w:r>
              <w:rPr>
                <w:rFonts w:ascii="Calibri" w:hAnsi="Calibri"/>
                <w:b/>
                <w:bCs/>
                <w:i w:val="0"/>
                <w:iCs w:val="0"/>
                <w:color w:val="auto"/>
              </w:rPr>
              <w:t>Valor total da aquisição (R$)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EEA993" w14:textId="77777777" w:rsidR="00234B3E" w:rsidRDefault="001C064D">
            <w:pPr>
              <w:widowControl w:val="0"/>
              <w:jc w:val="center"/>
              <w:rPr>
                <w:rFonts w:ascii="Calibri" w:hAnsi="Calibri"/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20.400,00</w:t>
            </w:r>
          </w:p>
        </w:tc>
      </w:tr>
    </w:tbl>
    <w:p w14:paraId="2ED0B8DE" w14:textId="77777777" w:rsidR="00234B3E" w:rsidRDefault="00234B3E">
      <w:pPr>
        <w:spacing w:after="0" w:line="276" w:lineRule="auto"/>
        <w:contextualSpacing/>
        <w:jc w:val="both"/>
        <w:rPr>
          <w:rFonts w:ascii="Arial" w:hAnsi="Arial" w:cs="Arial"/>
          <w:b/>
          <w:iCs/>
          <w:sz w:val="20"/>
          <w:szCs w:val="20"/>
        </w:rPr>
      </w:pPr>
    </w:p>
    <w:p w14:paraId="1850E6E8" w14:textId="77777777" w:rsidR="00234B3E" w:rsidRDefault="00234B3E">
      <w:pPr>
        <w:pStyle w:val="PargrafodaLista"/>
        <w:spacing w:after="0" w:line="276" w:lineRule="auto"/>
        <w:jc w:val="both"/>
        <w:rPr>
          <w:rFonts w:ascii="Arial" w:hAnsi="Arial" w:cs="Arial"/>
          <w:b/>
          <w:iCs/>
          <w:sz w:val="20"/>
          <w:szCs w:val="20"/>
        </w:rPr>
      </w:pPr>
    </w:p>
    <w:p w14:paraId="72B705FB" w14:textId="77777777" w:rsidR="00234B3E" w:rsidRDefault="001C064D">
      <w:pPr>
        <w:pStyle w:val="PargrafodaLista"/>
        <w:numPr>
          <w:ilvl w:val="1"/>
          <w:numId w:val="3"/>
        </w:numPr>
        <w:spacing w:after="0" w:line="276" w:lineRule="auto"/>
        <w:jc w:val="both"/>
        <w:rPr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 objeto desta contratação não se enquadra como sendo de bem de luxo, conforme Decreto nº 10.818, de 2021.</w:t>
      </w:r>
    </w:p>
    <w:p w14:paraId="726D54C2" w14:textId="77777777" w:rsidR="00234B3E" w:rsidRDefault="00234B3E">
      <w:pPr>
        <w:pStyle w:val="PargrafodaLista"/>
        <w:spacing w:after="0" w:line="276" w:lineRule="auto"/>
        <w:ind w:left="716"/>
        <w:jc w:val="both"/>
        <w:rPr>
          <w:rFonts w:ascii="Arial" w:hAnsi="Arial" w:cs="Arial"/>
          <w:bCs/>
          <w:i/>
          <w:color w:val="FF0000"/>
          <w:sz w:val="20"/>
          <w:szCs w:val="20"/>
        </w:rPr>
      </w:pPr>
    </w:p>
    <w:p w14:paraId="675989F0" w14:textId="77777777" w:rsidR="00234B3E" w:rsidRDefault="001C064D" w:rsidP="001C064D">
      <w:pPr>
        <w:pStyle w:val="PargrafodaLista"/>
        <w:numPr>
          <w:ilvl w:val="1"/>
          <w:numId w:val="5"/>
        </w:numPr>
        <w:spacing w:after="0" w:line="276" w:lineRule="auto"/>
        <w:jc w:val="both"/>
        <w:rPr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 custo estimado total da contratação é de</w:t>
      </w:r>
      <w:r>
        <w:rPr>
          <w:rFonts w:ascii="Arial" w:hAnsi="Arial" w:cs="Arial"/>
          <w:i/>
          <w:sz w:val="20"/>
          <w:szCs w:val="20"/>
        </w:rPr>
        <w:t xml:space="preserve"> R$.</w:t>
      </w:r>
      <w:r>
        <w:rPr>
          <w:rFonts w:ascii="Arial" w:eastAsia="Calibri" w:hAnsi="Arial" w:cs="Arial"/>
          <w:i/>
          <w:sz w:val="20"/>
          <w:szCs w:val="20"/>
        </w:rPr>
        <w:t>20.400,00</w:t>
      </w:r>
      <w:r>
        <w:rPr>
          <w:rFonts w:ascii="Arial" w:hAnsi="Arial" w:cs="Arial"/>
          <w:i/>
          <w:sz w:val="20"/>
          <w:szCs w:val="20"/>
        </w:rPr>
        <w:t>(</w:t>
      </w:r>
      <w:r>
        <w:rPr>
          <w:rFonts w:ascii="Arial" w:eastAsia="Calibri" w:hAnsi="Arial" w:cs="Arial"/>
          <w:i/>
          <w:sz w:val="20"/>
          <w:szCs w:val="20"/>
        </w:rPr>
        <w:t>vinte</w:t>
      </w:r>
      <w:r>
        <w:rPr>
          <w:rFonts w:ascii="Arial" w:hAnsi="Arial" w:cs="Arial"/>
          <w:i/>
          <w:sz w:val="20"/>
          <w:szCs w:val="20"/>
        </w:rPr>
        <w:t xml:space="preserve"> mil e </w:t>
      </w:r>
      <w:r>
        <w:rPr>
          <w:rFonts w:ascii="Arial" w:eastAsia="Calibri" w:hAnsi="Arial" w:cs="Arial"/>
          <w:i/>
          <w:sz w:val="20"/>
          <w:szCs w:val="20"/>
        </w:rPr>
        <w:t>quatrocentos</w:t>
      </w:r>
      <w:r>
        <w:rPr>
          <w:rFonts w:ascii="Arial" w:hAnsi="Arial" w:cs="Arial"/>
          <w:i/>
          <w:sz w:val="20"/>
          <w:szCs w:val="20"/>
        </w:rPr>
        <w:t xml:space="preserve">), </w:t>
      </w:r>
      <w:r>
        <w:rPr>
          <w:rFonts w:ascii="Arial" w:hAnsi="Arial" w:cs="Arial"/>
          <w:iCs/>
          <w:sz w:val="20"/>
          <w:szCs w:val="20"/>
        </w:rPr>
        <w:t>conforme custos unitários apostos</w:t>
      </w:r>
      <w:r>
        <w:rPr>
          <w:rFonts w:ascii="Arial" w:hAnsi="Arial" w:cs="Arial"/>
          <w:i/>
          <w:sz w:val="20"/>
          <w:szCs w:val="20"/>
        </w:rPr>
        <w:t xml:space="preserve"> na tabela acima e </w:t>
      </w:r>
      <w:r>
        <w:rPr>
          <w:rFonts w:ascii="Arial" w:eastAsia="Calibri" w:hAnsi="Arial" w:cs="Arial"/>
          <w:i/>
          <w:sz w:val="20"/>
          <w:szCs w:val="20"/>
        </w:rPr>
        <w:t xml:space="preserve">nas pesquisas de preços em anexo. </w:t>
      </w:r>
    </w:p>
    <w:p w14:paraId="710DB8F1" w14:textId="77777777" w:rsidR="00234B3E" w:rsidRDefault="00234B3E">
      <w:pPr>
        <w:spacing w:after="0"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67CDFF3" w14:textId="77777777" w:rsidR="00234B3E" w:rsidRDefault="001C064D">
      <w:pPr>
        <w:pStyle w:val="Nivel1"/>
        <w:numPr>
          <w:ilvl w:val="0"/>
          <w:numId w:val="3"/>
        </w:numPr>
        <w:spacing w:before="0" w:after="0"/>
        <w:rPr>
          <w:sz w:val="20"/>
          <w:szCs w:val="20"/>
        </w:rPr>
      </w:pPr>
      <w:r>
        <w:rPr>
          <w:bCs/>
          <w:sz w:val="20"/>
          <w:szCs w:val="20"/>
        </w:rPr>
        <w:t xml:space="preserve">FUNDAMENTAÇÃO E DESCRIÇÃO DA NECESSIDADE DA CONTRATAÇÃO (art. 6º, inciso XXIII, alínea ‘b’, da Lei nº 14.133/2021). </w:t>
      </w:r>
    </w:p>
    <w:p w14:paraId="6FA8446B" w14:textId="77777777" w:rsidR="00234B3E" w:rsidRDefault="00234B3E">
      <w:pPr>
        <w:spacing w:after="0"/>
        <w:ind w:left="360"/>
        <w:rPr>
          <w:sz w:val="20"/>
          <w:szCs w:val="20"/>
        </w:rPr>
      </w:pPr>
    </w:p>
    <w:p w14:paraId="2555A03A" w14:textId="77777777" w:rsidR="00234B3E" w:rsidRDefault="001C064D" w:rsidP="001C064D">
      <w:pPr>
        <w:pStyle w:val="PargrafodaLista"/>
        <w:numPr>
          <w:ilvl w:val="1"/>
          <w:numId w:val="6"/>
        </w:numPr>
        <w:spacing w:after="0" w:line="276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Fundamentação da Contratação e de seus quantitativos encontra-se pormenorizada em Tópico específico dos Estudos Técnicos Preliminares, apêndice deste Termo de Referência.</w:t>
      </w:r>
    </w:p>
    <w:p w14:paraId="60F0A583" w14:textId="77777777" w:rsidR="00234B3E" w:rsidRDefault="00234B3E">
      <w:pPr>
        <w:pStyle w:val="Nivel1"/>
        <w:spacing w:before="0" w:after="0"/>
        <w:ind w:left="360"/>
        <w:rPr>
          <w:bCs/>
          <w:sz w:val="20"/>
          <w:szCs w:val="20"/>
        </w:rPr>
      </w:pPr>
    </w:p>
    <w:p w14:paraId="0B0A87A2" w14:textId="77777777" w:rsidR="00234B3E" w:rsidRDefault="001C064D">
      <w:pPr>
        <w:pStyle w:val="Nivel1"/>
        <w:numPr>
          <w:ilvl w:val="0"/>
          <w:numId w:val="3"/>
        </w:numPr>
        <w:spacing w:before="0" w:after="0"/>
        <w:rPr>
          <w:sz w:val="20"/>
          <w:szCs w:val="20"/>
        </w:rPr>
      </w:pPr>
      <w:r>
        <w:rPr>
          <w:bCs/>
          <w:sz w:val="20"/>
          <w:szCs w:val="20"/>
        </w:rPr>
        <w:t>DESCRIÇÃO DA SOLUÇÃO COMO UM TODO CONSIDERADO O CICLO DE VIDA DO OBJETO E ESPECIFICA</w:t>
      </w:r>
      <w:r>
        <w:rPr>
          <w:bCs/>
          <w:sz w:val="20"/>
          <w:szCs w:val="20"/>
        </w:rPr>
        <w:t>ÇÃO DO PRODUTO (art. 6º, inciso XXIII, alínea ‘c’, e art. 40, §1º, inciso I, da Lei nº 14.133/2021)</w:t>
      </w:r>
    </w:p>
    <w:p w14:paraId="2E01FAB0" w14:textId="77777777" w:rsidR="00234B3E" w:rsidRDefault="00234B3E">
      <w:pPr>
        <w:spacing w:after="0"/>
        <w:ind w:left="360"/>
        <w:rPr>
          <w:sz w:val="20"/>
          <w:szCs w:val="20"/>
        </w:rPr>
      </w:pPr>
    </w:p>
    <w:p w14:paraId="1CFB0B8E" w14:textId="77777777" w:rsidR="00234B3E" w:rsidRDefault="001C064D" w:rsidP="001C064D">
      <w:pPr>
        <w:pStyle w:val="PargrafodaLista"/>
        <w:numPr>
          <w:ilvl w:val="1"/>
          <w:numId w:val="7"/>
        </w:numPr>
        <w:spacing w:after="0" w:line="276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descrição da solução como um todo, encontra-se pormenorizada em tópico específico dos Estudos Técnicos Preliminares, apêndice deste Termo de Referência.</w:t>
      </w:r>
    </w:p>
    <w:p w14:paraId="65F7035A" w14:textId="77777777" w:rsidR="00234B3E" w:rsidRDefault="00234B3E">
      <w:pPr>
        <w:pStyle w:val="PargrafodaLista"/>
        <w:spacing w:after="0" w:line="276" w:lineRule="auto"/>
        <w:ind w:left="1152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0487972" w14:textId="77777777" w:rsidR="00234B3E" w:rsidRDefault="001C064D">
      <w:pPr>
        <w:pStyle w:val="Nivel1"/>
        <w:numPr>
          <w:ilvl w:val="0"/>
          <w:numId w:val="3"/>
        </w:numPr>
        <w:spacing w:before="0" w:after="0"/>
        <w:rPr>
          <w:sz w:val="20"/>
          <w:szCs w:val="20"/>
        </w:rPr>
      </w:pPr>
      <w:r>
        <w:rPr>
          <w:bCs/>
          <w:sz w:val="20"/>
          <w:szCs w:val="20"/>
        </w:rPr>
        <w:t>REQUISITOS DA CONTRATAÇÃO (art. 6º, XXIII, alínea ‘d’, da Lei nº 14.133/21</w:t>
      </w:r>
    </w:p>
    <w:p w14:paraId="0767FDE2" w14:textId="77777777" w:rsidR="00234B3E" w:rsidRDefault="00234B3E">
      <w:pPr>
        <w:spacing w:after="0"/>
        <w:ind w:left="360"/>
        <w:rPr>
          <w:sz w:val="20"/>
          <w:szCs w:val="20"/>
        </w:rPr>
      </w:pPr>
    </w:p>
    <w:p w14:paraId="3B83770E" w14:textId="77777777" w:rsidR="00234B3E" w:rsidRDefault="001C064D" w:rsidP="001C064D">
      <w:pPr>
        <w:pStyle w:val="PargrafodaLista"/>
        <w:numPr>
          <w:ilvl w:val="1"/>
          <w:numId w:val="8"/>
        </w:numPr>
        <w:spacing w:after="0" w:line="276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 contratação deverá observar os seguintes requisitos:</w:t>
      </w:r>
    </w:p>
    <w:p w14:paraId="3D7B3784" w14:textId="77777777" w:rsidR="00234B3E" w:rsidRDefault="001C064D">
      <w:pPr>
        <w:pStyle w:val="PargrafodaLista"/>
        <w:numPr>
          <w:ilvl w:val="2"/>
          <w:numId w:val="3"/>
        </w:numPr>
        <w:spacing w:after="0" w:line="276" w:lineRule="auto"/>
        <w:jc w:val="both"/>
        <w:rPr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Sustentabilidade:</w:t>
      </w:r>
    </w:p>
    <w:p w14:paraId="3B0D9E37" w14:textId="77777777" w:rsidR="00234B3E" w:rsidRDefault="001C064D">
      <w:pPr>
        <w:pStyle w:val="PargrafodaLista"/>
        <w:numPr>
          <w:ilvl w:val="3"/>
          <w:numId w:val="3"/>
        </w:numPr>
        <w:shd w:val="clear" w:color="auto" w:fill="FFFFFF"/>
        <w:spacing w:after="0" w:line="276" w:lineRule="auto"/>
        <w:jc w:val="both"/>
        <w:rPr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Além dos critérios de sustentabilidade eventualmente inseridos na descrição do objeto, devem ser atendido</w:t>
      </w:r>
      <w:r>
        <w:rPr>
          <w:rFonts w:ascii="Arial" w:hAnsi="Arial" w:cs="Arial"/>
          <w:i/>
          <w:iCs/>
          <w:sz w:val="20"/>
          <w:szCs w:val="20"/>
        </w:rPr>
        <w:t>s os seguintes requisitos, que se baseiam no Guia Nacional de Contratações Sustentáveis:</w:t>
      </w:r>
    </w:p>
    <w:p w14:paraId="147B86F7" w14:textId="77777777" w:rsidR="00234B3E" w:rsidRDefault="001C064D">
      <w:pPr>
        <w:widowControl w:val="0"/>
        <w:spacing w:before="57" w:after="57"/>
        <w:ind w:left="360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 xml:space="preserve">     </w:t>
      </w:r>
      <w:r>
        <w:rPr>
          <w:rFonts w:ascii="Arial" w:hAnsi="Arial" w:cs="Calibri"/>
          <w:sz w:val="20"/>
          <w:szCs w:val="20"/>
        </w:rPr>
        <w:t xml:space="preserve">  Para atender às aquisições dos itens deste processo administrativo deverão ser observadas as seguintes informações acerca dos critérios de sustentabilidade nas </w:t>
      </w:r>
      <w:r>
        <w:rPr>
          <w:rFonts w:ascii="Arial" w:hAnsi="Arial" w:cs="Calibri"/>
          <w:sz w:val="20"/>
          <w:szCs w:val="20"/>
        </w:rPr>
        <w:t>compras públicas e, portanto, a inclusão dos referidos critérios de sustentabilidade nas especificações dos itens e nas exigências a serem cobradas das licitantes está consubstanciada nos diplomas legais elencados abaixo e nos compromissos internacionais a</w:t>
      </w:r>
      <w:r>
        <w:rPr>
          <w:rFonts w:ascii="Arial" w:hAnsi="Arial" w:cs="Calibri"/>
          <w:sz w:val="20"/>
          <w:szCs w:val="20"/>
        </w:rPr>
        <w:t>ssumidos pelo Estado brasileiro:</w:t>
      </w:r>
    </w:p>
    <w:p w14:paraId="61F5632E" w14:textId="77777777" w:rsidR="00234B3E" w:rsidRDefault="001C064D">
      <w:pPr>
        <w:widowControl w:val="0"/>
        <w:spacing w:before="57" w:after="57"/>
        <w:ind w:left="360"/>
        <w:jc w:val="both"/>
        <w:rPr>
          <w:sz w:val="20"/>
          <w:szCs w:val="20"/>
        </w:rPr>
      </w:pPr>
      <w:r>
        <w:rPr>
          <w:rFonts w:ascii="Arial" w:hAnsi="Arial" w:cs="Calibri"/>
          <w:sz w:val="20"/>
          <w:szCs w:val="20"/>
        </w:rPr>
        <w:t xml:space="preserve"> O disposto no art. 170, inciso VI, da Constituição Federal, que estabelece como princípio da ordem econômica a defesa do meio ambiente, inclusive mediante tratamento diferenciado conforme o impacto ambiental dos produtos e</w:t>
      </w:r>
      <w:r>
        <w:rPr>
          <w:rFonts w:ascii="Arial" w:hAnsi="Arial" w:cs="Calibri"/>
          <w:sz w:val="20"/>
          <w:szCs w:val="20"/>
        </w:rPr>
        <w:t xml:space="preserve"> serviços e de seus processos de elaboração e prestação;</w:t>
      </w:r>
    </w:p>
    <w:p w14:paraId="1DEAD76C" w14:textId="77777777" w:rsidR="00234B3E" w:rsidRDefault="001C064D">
      <w:pPr>
        <w:widowControl w:val="0"/>
        <w:spacing w:before="57" w:after="57"/>
        <w:ind w:left="360"/>
        <w:jc w:val="both"/>
        <w:rPr>
          <w:sz w:val="20"/>
          <w:szCs w:val="20"/>
        </w:rPr>
      </w:pPr>
      <w:r>
        <w:rPr>
          <w:rFonts w:ascii="Arial" w:hAnsi="Arial" w:cs="Calibri"/>
          <w:sz w:val="20"/>
          <w:szCs w:val="20"/>
        </w:rPr>
        <w:t xml:space="preserve">A diretriz prevista no art. 225 da Constituição da República, preconiza que todos têm direito ao meio ambiente ecologicamente equilibrado, bem de uso comum do povo e essencial à sadia </w:t>
      </w:r>
      <w:r>
        <w:rPr>
          <w:rFonts w:ascii="Arial" w:hAnsi="Arial" w:cs="Calibri"/>
          <w:sz w:val="20"/>
          <w:szCs w:val="20"/>
        </w:rPr>
        <w:t>qualidade de vida, impondo-se ao poder público e à coletividade o dever de defendê-lo e preservá-lo para os presentes e futuras gerações;</w:t>
      </w:r>
    </w:p>
    <w:p w14:paraId="5556F970" w14:textId="77777777" w:rsidR="00234B3E" w:rsidRDefault="001C064D">
      <w:pPr>
        <w:widowControl w:val="0"/>
        <w:spacing w:before="57" w:after="57"/>
        <w:ind w:left="360"/>
        <w:jc w:val="both"/>
        <w:rPr>
          <w:sz w:val="20"/>
          <w:szCs w:val="20"/>
        </w:rPr>
      </w:pPr>
      <w:r>
        <w:rPr>
          <w:rFonts w:ascii="Arial" w:hAnsi="Arial" w:cs="Calibri"/>
          <w:sz w:val="20"/>
          <w:szCs w:val="20"/>
        </w:rPr>
        <w:t>A Lei n° 6.938, de 31 de agosto de 1981, que dispõe sobre a Política Nacional do Meio Ambiente, cujo objetivo traduz-s</w:t>
      </w:r>
      <w:r>
        <w:rPr>
          <w:rFonts w:ascii="Arial" w:hAnsi="Arial" w:cs="Calibri"/>
          <w:sz w:val="20"/>
          <w:szCs w:val="20"/>
        </w:rPr>
        <w:t>e na preservação, melhoria e recuperação da qualidade ambiental propícia à vida, visando assegurar, no país, condições ao desenvolvimento socioeconômico, aos interesses da segurança nacional e à proteção da dignidade da vida humana;</w:t>
      </w:r>
    </w:p>
    <w:p w14:paraId="04AC282A" w14:textId="77777777" w:rsidR="00234B3E" w:rsidRDefault="001C064D">
      <w:pPr>
        <w:widowControl w:val="0"/>
        <w:spacing w:before="57" w:after="57"/>
        <w:ind w:left="360"/>
        <w:jc w:val="both"/>
        <w:rPr>
          <w:sz w:val="20"/>
          <w:szCs w:val="20"/>
        </w:rPr>
      </w:pPr>
      <w:r>
        <w:rPr>
          <w:rFonts w:ascii="Arial" w:hAnsi="Arial" w:cs="Calibri"/>
          <w:sz w:val="20"/>
          <w:szCs w:val="20"/>
        </w:rPr>
        <w:t xml:space="preserve">Prevê o Art. 3º da Lei </w:t>
      </w:r>
      <w:r>
        <w:rPr>
          <w:rFonts w:ascii="Arial" w:hAnsi="Arial" w:cs="Calibri"/>
          <w:sz w:val="20"/>
          <w:szCs w:val="20"/>
        </w:rPr>
        <w:t>Geral de Licitações nº 8.666, de 21 de junho de 1993 que a licitação destina-se a garantir a observância do princípio constitucional da isonomia, a seleção da proposta mais vantajosa para a administração e a promoção do desenvolvimento nacional sustentável</w:t>
      </w:r>
      <w:r>
        <w:rPr>
          <w:rFonts w:ascii="Arial" w:hAnsi="Arial" w:cs="Calibri"/>
          <w:sz w:val="20"/>
          <w:szCs w:val="20"/>
        </w:rPr>
        <w:t xml:space="preserve"> e será processada e julgada em estrita conformidade com os princípios básicos da legalidade, da impessoalidade, da moralidade, da igualdade, da publicidade, da probidade administrativa, da vinculação ao instrumento convocatório, do julgamento objetivo e d</w:t>
      </w:r>
      <w:r>
        <w:rPr>
          <w:rFonts w:ascii="Arial" w:hAnsi="Arial" w:cs="Calibri"/>
          <w:sz w:val="20"/>
          <w:szCs w:val="20"/>
        </w:rPr>
        <w:t>os que lhes são correlatos;</w:t>
      </w:r>
    </w:p>
    <w:p w14:paraId="5B8D8B01" w14:textId="77777777" w:rsidR="00234B3E" w:rsidRDefault="001C064D">
      <w:pPr>
        <w:widowControl w:val="0"/>
        <w:spacing w:before="57" w:after="57"/>
        <w:ind w:left="360"/>
        <w:jc w:val="both"/>
        <w:rPr>
          <w:sz w:val="20"/>
          <w:szCs w:val="20"/>
        </w:rPr>
      </w:pPr>
      <w:r>
        <w:rPr>
          <w:rFonts w:ascii="Arial" w:hAnsi="Arial" w:cs="Calibri"/>
          <w:sz w:val="20"/>
          <w:szCs w:val="20"/>
        </w:rPr>
        <w:t xml:space="preserve"> A Lei n° 12.187, de 29 de dezembro de 2009, instituiu a Política Nacional sobre Mudança de Clima (PNMC), tem como uma de suas diretrizes o estímulo e o apoio à manutenção e à promoção de padrões sustentáveis de produção e consu</w:t>
      </w:r>
      <w:r>
        <w:rPr>
          <w:rFonts w:ascii="Arial" w:hAnsi="Arial" w:cs="Calibri"/>
          <w:sz w:val="20"/>
          <w:szCs w:val="20"/>
        </w:rPr>
        <w:t>mo (art. 5°, Xlll), e como um de seus instrumentos a adoção de critérios de preferência nas licitações e concorrências públicas para as propostas que propiciem maior economia de energia, água e outros recursos naturais e redução da emissão de gases de efei</w:t>
      </w:r>
      <w:r>
        <w:rPr>
          <w:rFonts w:ascii="Arial" w:hAnsi="Arial" w:cs="Calibri"/>
          <w:sz w:val="20"/>
          <w:szCs w:val="20"/>
        </w:rPr>
        <w:t>to estufa e de resíduos (art. 6°, XII);</w:t>
      </w:r>
    </w:p>
    <w:p w14:paraId="601A8498" w14:textId="77777777" w:rsidR="00234B3E" w:rsidRDefault="001C064D">
      <w:pPr>
        <w:widowControl w:val="0"/>
        <w:spacing w:before="57" w:after="57"/>
        <w:ind w:left="360"/>
        <w:jc w:val="both"/>
        <w:rPr>
          <w:sz w:val="20"/>
          <w:szCs w:val="20"/>
        </w:rPr>
      </w:pPr>
      <w:r>
        <w:rPr>
          <w:rFonts w:ascii="Arial" w:hAnsi="Arial" w:cs="Calibri"/>
          <w:sz w:val="20"/>
          <w:szCs w:val="20"/>
        </w:rPr>
        <w:t xml:space="preserve"> A Lei n° 12.305, de 2 de agosto de 2010 institui a Política Nacional de Resíduos Sólidos (PNRS), cujo art. 7°, inciso XI, destaca como um dos objetivos a prioridade nas aquisições e contratações governamentais de pr</w:t>
      </w:r>
      <w:r>
        <w:rPr>
          <w:rFonts w:ascii="Arial" w:hAnsi="Arial" w:cs="Calibri"/>
          <w:sz w:val="20"/>
          <w:szCs w:val="20"/>
        </w:rPr>
        <w:t>odutos reciclados e recicláveis, assim como de bens, serviços e obras que considerem critérios compatíveis com padrões de consumo social e ambientalmente sustentáveis. O Decreto n° 7.746, de 05 de junho de 2012 estabelecendo critérios, práticas e diretrize</w:t>
      </w:r>
      <w:r>
        <w:rPr>
          <w:rFonts w:ascii="Arial" w:hAnsi="Arial" w:cs="Calibri"/>
          <w:sz w:val="20"/>
          <w:szCs w:val="20"/>
        </w:rPr>
        <w:t>s gerais de sustentabilidade nas contratações realizadas pela administração pública federal;</w:t>
      </w:r>
    </w:p>
    <w:p w14:paraId="745DB640" w14:textId="77777777" w:rsidR="00234B3E" w:rsidRDefault="001C064D">
      <w:pPr>
        <w:widowControl w:val="0"/>
        <w:spacing w:before="57" w:after="57"/>
        <w:ind w:left="360"/>
        <w:jc w:val="both"/>
        <w:rPr>
          <w:sz w:val="20"/>
          <w:szCs w:val="20"/>
        </w:rPr>
      </w:pPr>
      <w:r>
        <w:rPr>
          <w:rFonts w:ascii="Arial" w:hAnsi="Arial" w:cs="Calibri"/>
          <w:sz w:val="20"/>
          <w:szCs w:val="20"/>
        </w:rPr>
        <w:t>A Instrução Normativa n° 1, de 19 de janeiro de 2010, da Secretaria de Logística e Tecnologia da Informação do Ministério do Planejamento, Orçamento e Gestão (SLTl</w:t>
      </w:r>
      <w:r>
        <w:rPr>
          <w:rFonts w:ascii="Arial" w:hAnsi="Arial" w:cs="Calibri"/>
          <w:sz w:val="20"/>
          <w:szCs w:val="20"/>
        </w:rPr>
        <w:t>/MPOG), a qual prevê expressamente que as especificações técnicas para aquisições de bens e contratações de obras e serviços deverão conter critérios ambientais nos processos de extração, fabricação, utilização e descarte de matérias primas, sem frustrar o</w:t>
      </w:r>
      <w:r>
        <w:rPr>
          <w:rFonts w:ascii="Arial" w:hAnsi="Arial" w:cs="Calibri"/>
          <w:sz w:val="20"/>
          <w:szCs w:val="20"/>
        </w:rPr>
        <w:t xml:space="preserve"> caráter competitivo do certame;</w:t>
      </w:r>
    </w:p>
    <w:p w14:paraId="4A2598D4" w14:textId="77777777" w:rsidR="00234B3E" w:rsidRDefault="001C064D">
      <w:pPr>
        <w:widowControl w:val="0"/>
        <w:spacing w:before="57" w:after="57"/>
        <w:ind w:left="360"/>
        <w:jc w:val="both"/>
        <w:rPr>
          <w:sz w:val="20"/>
          <w:szCs w:val="20"/>
        </w:rPr>
      </w:pPr>
      <w:r>
        <w:rPr>
          <w:rFonts w:ascii="Arial" w:hAnsi="Arial" w:cs="Calibri"/>
          <w:sz w:val="20"/>
          <w:szCs w:val="20"/>
        </w:rPr>
        <w:t>A Instrução Normativa n° 10, de 12 de novembro de 2012, da SLTl/MPOG, estabelece regras para elaboração dos Planos de Gestão de Logística Sustentável, incitando as práticas de contratações sustentáveis, conforme disposto no</w:t>
      </w:r>
      <w:r>
        <w:rPr>
          <w:rFonts w:ascii="Arial" w:hAnsi="Arial" w:cs="Calibri"/>
          <w:sz w:val="20"/>
          <w:szCs w:val="20"/>
        </w:rPr>
        <w:t xml:space="preserve"> art. 11, inciso VI e o anexo II da referida norma.</w:t>
      </w:r>
    </w:p>
    <w:p w14:paraId="1F64E64B" w14:textId="77777777" w:rsidR="00234B3E" w:rsidRDefault="001C064D">
      <w:pPr>
        <w:widowControl w:val="0"/>
        <w:spacing w:before="57" w:after="57"/>
        <w:ind w:left="360"/>
        <w:jc w:val="both"/>
        <w:rPr>
          <w:sz w:val="20"/>
          <w:szCs w:val="20"/>
        </w:rPr>
      </w:pPr>
      <w:r>
        <w:rPr>
          <w:rFonts w:ascii="Arial" w:hAnsi="Arial" w:cs="Calibri"/>
          <w:sz w:val="20"/>
          <w:szCs w:val="20"/>
        </w:rPr>
        <w:t>No âmbito internacional salienta-se que, recentemente, o Brasil trabalhou no sentido de que o debate na Conferência das Nações Unidas para o Desenvolvimento Sustentável - Rio+20 girasse em torno de um com</w:t>
      </w:r>
      <w:r>
        <w:rPr>
          <w:rFonts w:ascii="Arial" w:hAnsi="Arial" w:cs="Calibri"/>
          <w:sz w:val="20"/>
          <w:szCs w:val="20"/>
        </w:rPr>
        <w:t>promisso global pela sustentabilidade, pela inclusão e pela erradicação da pobreza extrema no mundo. Tais propostas integraram o documento com os objetivos que o governo brasileiro definiu para compor a pauta do encontro. Nesse sentido, o documento oficial</w:t>
      </w:r>
      <w:r>
        <w:rPr>
          <w:rFonts w:ascii="Arial" w:hAnsi="Arial" w:cs="Calibri"/>
          <w:sz w:val="20"/>
          <w:szCs w:val="20"/>
        </w:rPr>
        <w:t xml:space="preserve"> com a posição do Brasil encaminhado à ONU enfatiza o papel do Estado como indutor e regulador do desenvolvimento sustentável:</w:t>
      </w:r>
    </w:p>
    <w:p w14:paraId="7CE38696" w14:textId="77777777" w:rsidR="00234B3E" w:rsidRDefault="00234B3E">
      <w:pPr>
        <w:widowControl w:val="0"/>
        <w:ind w:left="360"/>
        <w:jc w:val="both"/>
        <w:rPr>
          <w:rFonts w:ascii="Arial" w:hAnsi="Arial" w:cs="Calibri"/>
          <w:sz w:val="20"/>
          <w:szCs w:val="20"/>
        </w:rPr>
      </w:pPr>
    </w:p>
    <w:p w14:paraId="3FAF234D" w14:textId="77777777" w:rsidR="00234B3E" w:rsidRDefault="001C064D">
      <w:pPr>
        <w:widowControl w:val="0"/>
        <w:ind w:left="3150"/>
        <w:jc w:val="both"/>
        <w:rPr>
          <w:sz w:val="20"/>
          <w:szCs w:val="20"/>
        </w:rPr>
      </w:pPr>
      <w:r>
        <w:rPr>
          <w:rFonts w:ascii="Arial" w:hAnsi="Arial" w:cs="Calibri"/>
          <w:i/>
          <w:iCs/>
          <w:sz w:val="20"/>
          <w:szCs w:val="20"/>
        </w:rPr>
        <w:lastRenderedPageBreak/>
        <w:t>(...) é fundamental que o Estado retome seu papel de indutor e regulador do desenvolvimento, favorecendo a adoção de práticas ec</w:t>
      </w:r>
      <w:r>
        <w:rPr>
          <w:rFonts w:ascii="Arial" w:hAnsi="Arial" w:cs="Calibri"/>
          <w:i/>
          <w:iCs/>
          <w:sz w:val="20"/>
          <w:szCs w:val="20"/>
        </w:rPr>
        <w:t xml:space="preserve">onômicas e processos produtivos inovadores, calcados no uso racional e na proteção dos recursos naturais e na incorporação de pessoas excluídas à economia, por meio do acesso ao emprego, ao trabalho decente e à renda. Por meio de instrumentos econômicos e </w:t>
      </w:r>
      <w:r>
        <w:rPr>
          <w:rFonts w:ascii="Arial" w:hAnsi="Arial" w:cs="Calibri"/>
          <w:i/>
          <w:iCs/>
          <w:sz w:val="20"/>
          <w:szCs w:val="20"/>
        </w:rPr>
        <w:t xml:space="preserve">políticas públicas, o Estado deve remover barreiras e criar incentivos positivos, que facilitem a adesão do setor produtivo a padrões mais sustentáveis sob as óticas econômica, ambiental e social (...). O Estado pode ainda influenciar significativamente a </w:t>
      </w:r>
      <w:r>
        <w:rPr>
          <w:rFonts w:ascii="Arial" w:hAnsi="Arial" w:cs="Calibri"/>
          <w:i/>
          <w:iCs/>
          <w:sz w:val="20"/>
          <w:szCs w:val="20"/>
        </w:rPr>
        <w:t>adoção de modelos mais sustentáveis pela forma como aufere e aplica a receita. Os instrumentos de política fiscal, associados à valoração de serviços ambientais, desempenham, nesse sentido, papel central no repertório de políticas do Estado, por meio dos q</w:t>
      </w:r>
      <w:r>
        <w:rPr>
          <w:rFonts w:ascii="Arial" w:hAnsi="Arial" w:cs="Calibri"/>
          <w:i/>
          <w:iCs/>
          <w:sz w:val="20"/>
          <w:szCs w:val="20"/>
        </w:rPr>
        <w:t>uais podem ser estabelecidos estímulos positivos para a adoção de padrões mais sustentáveis em toda a cadeia produtiva (…)</w:t>
      </w:r>
    </w:p>
    <w:p w14:paraId="3CEA0FB9" w14:textId="77777777" w:rsidR="00234B3E" w:rsidRDefault="00234B3E">
      <w:pPr>
        <w:widowControl w:val="0"/>
        <w:ind w:left="6029"/>
        <w:jc w:val="both"/>
        <w:rPr>
          <w:rFonts w:ascii="Arial" w:hAnsi="Arial" w:cs="Calibri"/>
          <w:sz w:val="20"/>
          <w:szCs w:val="20"/>
        </w:rPr>
      </w:pPr>
    </w:p>
    <w:p w14:paraId="7A6A025F" w14:textId="77777777" w:rsidR="00234B3E" w:rsidRDefault="001C064D">
      <w:pPr>
        <w:widowControl w:val="0"/>
        <w:numPr>
          <w:ilvl w:val="4"/>
          <w:numId w:val="3"/>
        </w:numPr>
        <w:shd w:val="clear" w:color="auto" w:fill="FFFFFF"/>
        <w:spacing w:after="0" w:line="276" w:lineRule="auto"/>
        <w:ind w:left="567" w:firstLine="0"/>
        <w:contextualSpacing/>
        <w:jc w:val="both"/>
        <w:rPr>
          <w:sz w:val="20"/>
          <w:szCs w:val="20"/>
        </w:rPr>
      </w:pPr>
      <w:r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As compras públicas e investimentos também podem desempenhar papel nesse contexto.</w:t>
      </w:r>
    </w:p>
    <w:p w14:paraId="4FE9F25E" w14:textId="77777777" w:rsidR="00234B3E" w:rsidRDefault="001C064D">
      <w:pPr>
        <w:widowControl w:val="0"/>
        <w:spacing w:before="57" w:after="57"/>
        <w:ind w:left="984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 xml:space="preserve">São exigências para o presente processo de </w:t>
      </w:r>
      <w:r>
        <w:rPr>
          <w:rFonts w:cs="Calibri"/>
          <w:sz w:val="20"/>
          <w:szCs w:val="20"/>
        </w:rPr>
        <w:t>compra pública, os seguintes CRITÉRIOS DE SUSTENTABILIDADE AMBIENTAL:</w:t>
      </w:r>
    </w:p>
    <w:p w14:paraId="5D03E3BA" w14:textId="77777777" w:rsidR="00234B3E" w:rsidRDefault="001C064D">
      <w:pPr>
        <w:widowControl w:val="0"/>
        <w:shd w:val="clear" w:color="auto" w:fill="FFFFFF"/>
        <w:spacing w:before="57" w:after="57" w:line="276" w:lineRule="auto"/>
        <w:ind w:left="2799"/>
        <w:jc w:val="both"/>
      </w:pPr>
      <w:r>
        <w:rPr>
          <w:rFonts w:ascii="Arial" w:eastAsia="Calibri" w:hAnsi="Arial" w:cs="Times New Roman"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eastAsia="Calibri" w:hAnsi="Arial" w:cs="Times New Roman"/>
          <w:color w:val="000000"/>
          <w:sz w:val="20"/>
          <w:szCs w:val="20"/>
          <w:shd w:val="clear" w:color="auto" w:fill="FFFFFF"/>
        </w:rPr>
        <w:t>A licitante vencedora deverá observar os  critérios de sustentabilidade ambiental , quanto aos os processos de extração ou fabricação, transporte, utilização e descarte dos produtos e m</w:t>
      </w:r>
      <w:r>
        <w:rPr>
          <w:rFonts w:ascii="Arial" w:eastAsia="Calibri" w:hAnsi="Arial" w:cs="Times New Roman"/>
          <w:color w:val="000000"/>
          <w:sz w:val="20"/>
          <w:szCs w:val="20"/>
          <w:shd w:val="clear" w:color="auto" w:fill="FFFFFF"/>
        </w:rPr>
        <w:t>atérias-primas, no que couber, conforme a instrução normativa.</w:t>
      </w:r>
      <w:r>
        <w:rPr>
          <w:rFonts w:ascii="Arial" w:eastAsia="Calibri" w:hAnsi="Arial" w:cs="Times New Roman"/>
          <w:color w:val="000000"/>
          <w:sz w:val="20"/>
          <w:szCs w:val="20"/>
          <w:shd w:val="clear" w:color="auto" w:fill="FFFFFF"/>
        </w:rPr>
        <w:t xml:space="preserve"> O </w:t>
      </w:r>
      <w:r>
        <w:rPr>
          <w:rStyle w:val="nfaseforte"/>
          <w:rFonts w:ascii="Arial" w:eastAsia="Calibri" w:hAnsi="Arial" w:cs="Times New Roman"/>
          <w:b w:val="0"/>
          <w:bCs w:val="0"/>
          <w:color w:val="000000"/>
          <w:sz w:val="20"/>
          <w:szCs w:val="20"/>
          <w:shd w:val="clear" w:color="auto" w:fill="FFFFFF"/>
        </w:rPr>
        <w:t>alumínio</w:t>
      </w:r>
      <w:r>
        <w:rPr>
          <w:rFonts w:ascii="Arial" w:eastAsia="Calibri" w:hAnsi="Arial" w:cs="Times New Roman"/>
          <w:color w:val="000000"/>
          <w:sz w:val="20"/>
          <w:szCs w:val="20"/>
          <w:shd w:val="clear" w:color="auto" w:fill="FFFFFF"/>
        </w:rPr>
        <w:t xml:space="preserve"> é considerado um material 100% reciclável, pois não se degrada no processo de reciclagem. </w:t>
      </w:r>
    </w:p>
    <w:p w14:paraId="79443FC4" w14:textId="77777777" w:rsidR="00234B3E" w:rsidRDefault="00234B3E">
      <w:pPr>
        <w:widowControl w:val="0"/>
        <w:shd w:val="clear" w:color="auto" w:fill="FFFFFF"/>
        <w:spacing w:before="57" w:after="57" w:line="276" w:lineRule="auto"/>
        <w:ind w:left="2799"/>
        <w:jc w:val="both"/>
        <w:rPr>
          <w:rFonts w:ascii="Arial" w:eastAsia="Calibri" w:hAnsi="Arial" w:cs="Arial"/>
          <w:sz w:val="20"/>
          <w:szCs w:val="20"/>
          <w:shd w:val="clear" w:color="auto" w:fill="FFFFFF"/>
        </w:rPr>
      </w:pPr>
    </w:p>
    <w:p w14:paraId="4A4F434E" w14:textId="77777777" w:rsidR="00234B3E" w:rsidRDefault="001C064D">
      <w:pPr>
        <w:pStyle w:val="PargrafodaLista"/>
        <w:numPr>
          <w:ilvl w:val="1"/>
          <w:numId w:val="3"/>
        </w:numPr>
        <w:spacing w:after="0" w:line="276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Não será admitida a subcontratação do objeto contratual.</w:t>
      </w:r>
    </w:p>
    <w:p w14:paraId="5DD5DFFA" w14:textId="77777777" w:rsidR="00234B3E" w:rsidRDefault="00234B3E">
      <w:pPr>
        <w:pStyle w:val="PargrafodaLista"/>
        <w:spacing w:after="0" w:line="276" w:lineRule="auto"/>
        <w:ind w:left="1152"/>
        <w:jc w:val="both"/>
        <w:rPr>
          <w:rFonts w:ascii="Arial" w:hAnsi="Arial" w:cs="Arial"/>
          <w:sz w:val="20"/>
          <w:szCs w:val="20"/>
        </w:rPr>
      </w:pPr>
    </w:p>
    <w:p w14:paraId="70FE4F16" w14:textId="77777777" w:rsidR="00234B3E" w:rsidRDefault="001C064D">
      <w:pPr>
        <w:pStyle w:val="Nivel1"/>
        <w:numPr>
          <w:ilvl w:val="0"/>
          <w:numId w:val="3"/>
        </w:numPr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MODELO DE EXECUÇÃO </w:t>
      </w:r>
      <w:r>
        <w:rPr>
          <w:sz w:val="20"/>
          <w:szCs w:val="20"/>
        </w:rPr>
        <w:t>CONTRATUAL (arts. 6º, XXIII, alínea “e” e 40, §1º, inciso II, da Lei nº 14.133/2021).</w:t>
      </w:r>
    </w:p>
    <w:p w14:paraId="672CF3F4" w14:textId="77777777" w:rsidR="00234B3E" w:rsidRDefault="00234B3E">
      <w:pPr>
        <w:spacing w:after="0"/>
        <w:ind w:left="360"/>
        <w:rPr>
          <w:sz w:val="20"/>
          <w:szCs w:val="20"/>
        </w:rPr>
      </w:pPr>
    </w:p>
    <w:p w14:paraId="4297C64F" w14:textId="77777777" w:rsidR="00234B3E" w:rsidRDefault="001C064D" w:rsidP="001C064D">
      <w:pPr>
        <w:pStyle w:val="Nivel2"/>
        <w:numPr>
          <w:ilvl w:val="1"/>
          <w:numId w:val="9"/>
        </w:numPr>
        <w:spacing w:before="0" w:after="0"/>
        <w:rPr>
          <w:sz w:val="20"/>
          <w:szCs w:val="20"/>
        </w:rPr>
      </w:pPr>
      <w:r>
        <w:rPr>
          <w:color w:val="auto"/>
          <w:sz w:val="20"/>
          <w:szCs w:val="20"/>
        </w:rPr>
        <w:t xml:space="preserve">O prazo </w:t>
      </w:r>
      <w:r>
        <w:rPr>
          <w:rFonts w:eastAsia="Calibri"/>
          <w:color w:val="auto"/>
          <w:sz w:val="20"/>
          <w:szCs w:val="20"/>
        </w:rPr>
        <w:t>para entrega do material</w:t>
      </w:r>
      <w:r>
        <w:rPr>
          <w:color w:val="auto"/>
          <w:sz w:val="20"/>
          <w:szCs w:val="20"/>
        </w:rPr>
        <w:t xml:space="preserve"> é de 15 dias úteis, contados do envio da Nota de Empenho, em remessa única. </w:t>
      </w:r>
    </w:p>
    <w:p w14:paraId="539FA967" w14:textId="77777777" w:rsidR="00234B3E" w:rsidRDefault="00234B3E">
      <w:pPr>
        <w:spacing w:after="0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2F32B30E" w14:textId="77777777" w:rsidR="00234B3E" w:rsidRDefault="001C064D" w:rsidP="001C064D">
      <w:pPr>
        <w:pStyle w:val="Nivel2"/>
        <w:numPr>
          <w:ilvl w:val="1"/>
          <w:numId w:val="10"/>
        </w:numPr>
        <w:spacing w:before="0" w:after="0"/>
        <w:ind w:left="284" w:firstLine="0"/>
        <w:rPr>
          <w:sz w:val="20"/>
          <w:szCs w:val="20"/>
        </w:rPr>
      </w:pPr>
      <w:r>
        <w:rPr>
          <w:bCs/>
          <w:color w:val="auto"/>
          <w:sz w:val="20"/>
          <w:szCs w:val="20"/>
        </w:rPr>
        <w:t>Caso não seja possível a entrega na data assinalada, a emp</w:t>
      </w:r>
      <w:r>
        <w:rPr>
          <w:bCs/>
          <w:color w:val="auto"/>
          <w:sz w:val="20"/>
          <w:szCs w:val="20"/>
        </w:rPr>
        <w:t xml:space="preserve">resa deverá comunicar as razões respectivas com pelo menos </w:t>
      </w:r>
      <w:r>
        <w:rPr>
          <w:bCs/>
          <w:color w:val="auto"/>
          <w:sz w:val="20"/>
          <w:szCs w:val="20"/>
        </w:rPr>
        <w:t>5</w:t>
      </w:r>
      <w:r>
        <w:rPr>
          <w:bCs/>
          <w:color w:val="auto"/>
          <w:sz w:val="20"/>
          <w:szCs w:val="20"/>
        </w:rPr>
        <w:t xml:space="preserve"> dias de antecedência para que qualquer pleito de prorrogação de prazo seja analisado, ressalvadas situações de caso fortuito e </w:t>
      </w:r>
      <w:r>
        <w:rPr>
          <w:color w:val="auto"/>
          <w:sz w:val="20"/>
          <w:szCs w:val="20"/>
        </w:rPr>
        <w:t>força</w:t>
      </w:r>
      <w:r>
        <w:rPr>
          <w:bCs/>
          <w:color w:val="auto"/>
          <w:sz w:val="20"/>
          <w:szCs w:val="20"/>
        </w:rPr>
        <w:t xml:space="preserve"> maior.</w:t>
      </w:r>
    </w:p>
    <w:p w14:paraId="470BE35F" w14:textId="77777777" w:rsidR="00234B3E" w:rsidRDefault="00234B3E">
      <w:pPr>
        <w:pStyle w:val="Nivel2"/>
        <w:spacing w:before="0" w:after="0"/>
        <w:ind w:left="716"/>
        <w:rPr>
          <w:bCs/>
          <w:i/>
          <w:iCs/>
          <w:color w:val="FF0000"/>
          <w:sz w:val="20"/>
          <w:szCs w:val="20"/>
        </w:rPr>
      </w:pPr>
    </w:p>
    <w:p w14:paraId="2E1E91B3" w14:textId="77777777" w:rsidR="00234B3E" w:rsidRDefault="001C064D" w:rsidP="001C064D">
      <w:pPr>
        <w:pStyle w:val="Nivel2"/>
        <w:numPr>
          <w:ilvl w:val="1"/>
          <w:numId w:val="11"/>
        </w:numPr>
        <w:spacing w:before="0" w:after="0"/>
        <w:ind w:left="284" w:firstLine="0"/>
        <w:rPr>
          <w:sz w:val="20"/>
          <w:szCs w:val="20"/>
        </w:rPr>
      </w:pPr>
      <w:r>
        <w:rPr>
          <w:bCs/>
          <w:color w:val="auto"/>
          <w:sz w:val="20"/>
          <w:szCs w:val="20"/>
          <w:lang w:val="pt-PT"/>
        </w:rPr>
        <w:t xml:space="preserve">Os </w:t>
      </w:r>
      <w:r>
        <w:rPr>
          <w:bCs/>
          <w:color w:val="auto"/>
          <w:sz w:val="20"/>
          <w:szCs w:val="20"/>
          <w:lang w:val="pt-PT"/>
        </w:rPr>
        <w:t>serviços deve</w:t>
      </w:r>
      <w:r>
        <w:rPr>
          <w:bCs/>
          <w:color w:val="auto"/>
          <w:sz w:val="20"/>
          <w:szCs w:val="20"/>
        </w:rPr>
        <w:t xml:space="preserve"> ser realizado </w:t>
      </w:r>
      <w:r>
        <w:rPr>
          <w:bCs/>
          <w:color w:val="auto"/>
          <w:sz w:val="20"/>
          <w:szCs w:val="20"/>
        </w:rPr>
        <w:t xml:space="preserve"> no seguinte endereço</w:t>
      </w:r>
      <w:r>
        <w:rPr>
          <w:bCs/>
          <w:i/>
          <w:iCs/>
          <w:color w:val="FF0000"/>
          <w:sz w:val="20"/>
          <w:szCs w:val="20"/>
        </w:rPr>
        <w:t xml:space="preserve"> </w:t>
      </w:r>
      <w:r>
        <w:rPr>
          <w:rFonts w:cs="Open Sans"/>
          <w:i/>
          <w:iCs/>
          <w:sz w:val="20"/>
          <w:szCs w:val="20"/>
        </w:rPr>
        <w:t>A</w:t>
      </w:r>
      <w:r>
        <w:rPr>
          <w:rFonts w:cs="Open Sans"/>
          <w:i/>
          <w:iCs/>
          <w:sz w:val="20"/>
          <w:szCs w:val="20"/>
        </w:rPr>
        <w:t xml:space="preserve">venida das Américas 28.705 – Guaratiba – Rio de Janeiro . </w:t>
      </w:r>
    </w:p>
    <w:p w14:paraId="65C83FDD" w14:textId="77777777" w:rsidR="00234B3E" w:rsidRDefault="00234B3E">
      <w:pPr>
        <w:pStyle w:val="Nivel2"/>
        <w:spacing w:before="0" w:after="0"/>
        <w:ind w:left="716"/>
        <w:rPr>
          <w:bCs/>
          <w:i/>
          <w:iCs/>
          <w:color w:val="FF0000"/>
          <w:sz w:val="20"/>
          <w:szCs w:val="20"/>
        </w:rPr>
      </w:pPr>
    </w:p>
    <w:p w14:paraId="4E46F832" w14:textId="77777777" w:rsidR="00234B3E" w:rsidRDefault="001C064D">
      <w:pPr>
        <w:pStyle w:val="Nivel1"/>
        <w:numPr>
          <w:ilvl w:val="0"/>
          <w:numId w:val="3"/>
        </w:numPr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ESPECIFICAÇÃO DA GARANTIA CONTRATUAL EXIGIDA E DAS CONDIÇÕES DE MANUTENÇÃO E ASSISTÊNCIA TÉCNICA (art. 40, §1º, inciso III, da Lei nº 14.133/2021) </w:t>
      </w:r>
    </w:p>
    <w:p w14:paraId="13AC7A1F" w14:textId="77777777" w:rsidR="00234B3E" w:rsidRDefault="00234B3E">
      <w:pPr>
        <w:spacing w:after="0"/>
        <w:ind w:left="360"/>
        <w:rPr>
          <w:sz w:val="20"/>
          <w:szCs w:val="20"/>
        </w:rPr>
      </w:pPr>
    </w:p>
    <w:p w14:paraId="5AD5B693" w14:textId="77777777" w:rsidR="00234B3E" w:rsidRDefault="001C064D" w:rsidP="001C064D">
      <w:pPr>
        <w:pStyle w:val="PargrafodaLista"/>
        <w:numPr>
          <w:ilvl w:val="1"/>
          <w:numId w:val="12"/>
        </w:numPr>
        <w:spacing w:after="0" w:line="276" w:lineRule="auto"/>
        <w:jc w:val="both"/>
      </w:pPr>
      <w:r>
        <w:rPr>
          <w:rFonts w:ascii="Arial" w:hAnsi="Arial" w:cs="Arial"/>
          <w:bCs/>
          <w:sz w:val="20"/>
          <w:szCs w:val="20"/>
        </w:rPr>
        <w:t>O prazo de garantia contratual do serviço, complementar à garantia legal, será de, no mínimo,6 (seis) meses</w:t>
      </w:r>
      <w:r>
        <w:rPr>
          <w:rFonts w:ascii="Arial" w:hAnsi="Arial" w:cs="Arial"/>
          <w:bCs/>
          <w:sz w:val="20"/>
          <w:szCs w:val="20"/>
        </w:rPr>
        <w:t xml:space="preserve">, contado a partir do primeiro dia útil subsequente à data do recebimento definitivo do objeto. </w:t>
      </w:r>
    </w:p>
    <w:p w14:paraId="53CA11E6" w14:textId="77777777" w:rsidR="00234B3E" w:rsidRDefault="001C064D">
      <w:pPr>
        <w:pStyle w:val="PargrafodaLista"/>
        <w:numPr>
          <w:ilvl w:val="1"/>
          <w:numId w:val="3"/>
        </w:numPr>
        <w:spacing w:after="0" w:line="276" w:lineRule="auto"/>
        <w:ind w:left="567" w:hanging="425"/>
        <w:jc w:val="both"/>
        <w:rPr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 xml:space="preserve">Caso o prazo da garantia oferecida pelo fabricante seja inferior ao estabelecido nesta cláusula, o fornecedor deverá complementar a garantia do bem ofertado pelo período restante. </w:t>
      </w:r>
    </w:p>
    <w:p w14:paraId="0A1D7EFF" w14:textId="77777777" w:rsidR="00234B3E" w:rsidRDefault="001C064D" w:rsidP="001C064D">
      <w:pPr>
        <w:pStyle w:val="PargrafodaLista"/>
        <w:numPr>
          <w:ilvl w:val="1"/>
          <w:numId w:val="13"/>
        </w:numPr>
        <w:spacing w:after="0" w:line="276" w:lineRule="auto"/>
        <w:ind w:left="567"/>
        <w:jc w:val="both"/>
        <w:rPr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A garantia será prestada com vistas a manter os equipamentos fornecidos em </w:t>
      </w:r>
      <w:r>
        <w:rPr>
          <w:rFonts w:ascii="Arial" w:hAnsi="Arial" w:cs="Arial"/>
          <w:bCs/>
          <w:sz w:val="20"/>
          <w:szCs w:val="20"/>
        </w:rPr>
        <w:t xml:space="preserve">perfeitas condições de uso, sem qualquer ônus ou custo adicional para o Contratante. </w:t>
      </w:r>
    </w:p>
    <w:p w14:paraId="289DB955" w14:textId="77777777" w:rsidR="00234B3E" w:rsidRDefault="001C064D" w:rsidP="001C064D">
      <w:pPr>
        <w:pStyle w:val="PargrafodaLista"/>
        <w:numPr>
          <w:ilvl w:val="1"/>
          <w:numId w:val="14"/>
        </w:numPr>
        <w:spacing w:after="0" w:line="276" w:lineRule="auto"/>
        <w:ind w:left="567"/>
        <w:jc w:val="both"/>
        <w:rPr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A garantia abrange a realização da manutenção corretiva dos bens pelo próprio Contratado, ou, se for o caso, por meio de assistência técnica autorizada, de acordo com as </w:t>
      </w:r>
      <w:r>
        <w:rPr>
          <w:rFonts w:ascii="Arial" w:hAnsi="Arial" w:cs="Arial"/>
          <w:bCs/>
          <w:sz w:val="20"/>
          <w:szCs w:val="20"/>
        </w:rPr>
        <w:t xml:space="preserve">normas técnicas específicas. </w:t>
      </w:r>
    </w:p>
    <w:p w14:paraId="45DBAA4D" w14:textId="77777777" w:rsidR="00234B3E" w:rsidRDefault="001C064D" w:rsidP="001C064D">
      <w:pPr>
        <w:pStyle w:val="PargrafodaLista"/>
        <w:numPr>
          <w:ilvl w:val="1"/>
          <w:numId w:val="15"/>
        </w:numPr>
        <w:spacing w:after="0" w:line="276" w:lineRule="auto"/>
        <w:ind w:left="567"/>
        <w:jc w:val="both"/>
        <w:rPr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Entende-se por manutenção corretiva aquela destinada a corrigir os defeitos apresentados pelos bens, compreendendo a substituição de peças, a realização de ajustes, reparos e correções necessárias. </w:t>
      </w:r>
    </w:p>
    <w:p w14:paraId="17211D33" w14:textId="77777777" w:rsidR="00234B3E" w:rsidRDefault="001C064D" w:rsidP="001C064D">
      <w:pPr>
        <w:pStyle w:val="PargrafodaLista"/>
        <w:numPr>
          <w:ilvl w:val="1"/>
          <w:numId w:val="16"/>
        </w:numPr>
        <w:spacing w:after="0" w:line="276" w:lineRule="auto"/>
        <w:ind w:left="567"/>
        <w:jc w:val="both"/>
        <w:rPr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As peças que apresentarem v</w:t>
      </w:r>
      <w:r>
        <w:rPr>
          <w:rFonts w:ascii="Arial" w:hAnsi="Arial" w:cs="Arial"/>
          <w:bCs/>
          <w:sz w:val="20"/>
          <w:szCs w:val="20"/>
        </w:rPr>
        <w:t xml:space="preserve">ício ou defeito no período de vigência da garantia deverão ser substituídas por outras novas, de primeiro uso, e originais, que apresentem padrões de qualidade e desempenho iguais ou superiores aos das peças utilizadas na fabricação do equipamento. </w:t>
      </w:r>
    </w:p>
    <w:p w14:paraId="6C69DD1B" w14:textId="77777777" w:rsidR="00234B3E" w:rsidRDefault="001C064D" w:rsidP="001C064D">
      <w:pPr>
        <w:pStyle w:val="PargrafodaLista"/>
        <w:numPr>
          <w:ilvl w:val="1"/>
          <w:numId w:val="17"/>
        </w:numPr>
        <w:spacing w:after="0" w:line="276" w:lineRule="auto"/>
        <w:ind w:left="567"/>
        <w:jc w:val="both"/>
        <w:rPr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Uma ve</w:t>
      </w:r>
      <w:r>
        <w:rPr>
          <w:rFonts w:ascii="Arial" w:hAnsi="Arial" w:cs="Arial"/>
          <w:bCs/>
          <w:sz w:val="20"/>
          <w:szCs w:val="20"/>
        </w:rPr>
        <w:t>z notificado, o Contratado realizará a reparação ou substituição dos bens que apresentarem vício ou defeito no prazo de até 5 (cinco) dias úteis, contados a partir da data de retirada do equipamento das dependências da Administração pelo Contratado ou pela</w:t>
      </w:r>
      <w:r>
        <w:rPr>
          <w:rFonts w:ascii="Arial" w:hAnsi="Arial" w:cs="Arial"/>
          <w:bCs/>
          <w:sz w:val="20"/>
          <w:szCs w:val="20"/>
        </w:rPr>
        <w:t xml:space="preserve"> assistência técnica autorizada. </w:t>
      </w:r>
    </w:p>
    <w:p w14:paraId="34543BC3" w14:textId="77777777" w:rsidR="00234B3E" w:rsidRDefault="001C064D" w:rsidP="001C064D">
      <w:pPr>
        <w:pStyle w:val="PargrafodaLista"/>
        <w:numPr>
          <w:ilvl w:val="1"/>
          <w:numId w:val="18"/>
        </w:numPr>
        <w:spacing w:after="0" w:line="276" w:lineRule="auto"/>
        <w:ind w:left="567"/>
        <w:jc w:val="both"/>
        <w:rPr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O prazo indicado no subitem anterior, durante seu transcurso, poderá ser prorrogado uma única vez, por igual período, mediante solicitação escrita e justificada do Contratado, aceita pelo Contratante. </w:t>
      </w:r>
    </w:p>
    <w:p w14:paraId="1E85717F" w14:textId="77777777" w:rsidR="00234B3E" w:rsidRDefault="001C064D" w:rsidP="001C064D">
      <w:pPr>
        <w:pStyle w:val="PargrafodaLista"/>
        <w:numPr>
          <w:ilvl w:val="1"/>
          <w:numId w:val="19"/>
        </w:numPr>
        <w:spacing w:after="0" w:line="276" w:lineRule="auto"/>
        <w:ind w:left="567"/>
        <w:jc w:val="both"/>
        <w:rPr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 hipótese do subit</w:t>
      </w:r>
      <w:r>
        <w:rPr>
          <w:rFonts w:ascii="Arial" w:hAnsi="Arial" w:cs="Arial"/>
          <w:bCs/>
          <w:sz w:val="20"/>
          <w:szCs w:val="20"/>
        </w:rPr>
        <w:t>em acima, o Contratado deverá disponibilizar equipamento equivalente, de especificação igual ou superior ao anteriormente fornecido, para utilização em caráter provisório pelo Contratante, de modo a garantir a continuidade dos trabalhos administrativos dur</w:t>
      </w:r>
      <w:r>
        <w:rPr>
          <w:rFonts w:ascii="Arial" w:hAnsi="Arial" w:cs="Arial"/>
          <w:bCs/>
          <w:sz w:val="20"/>
          <w:szCs w:val="20"/>
        </w:rPr>
        <w:t xml:space="preserve">ante a execução dos reparos. </w:t>
      </w:r>
    </w:p>
    <w:p w14:paraId="005FDDD2" w14:textId="77777777" w:rsidR="00234B3E" w:rsidRDefault="001C064D" w:rsidP="001C064D">
      <w:pPr>
        <w:pStyle w:val="PargrafodaLista"/>
        <w:numPr>
          <w:ilvl w:val="1"/>
          <w:numId w:val="20"/>
        </w:numPr>
        <w:spacing w:after="0" w:line="276" w:lineRule="auto"/>
        <w:ind w:left="567"/>
        <w:jc w:val="both"/>
        <w:rPr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Decorrido o prazo para reparos e substituições sem o atendimento da solicitação do Contratante ou a apresentação de justificativas pelo Contratado, fica o Contratante autorizado a contratar empresa diversa para executar os rep</w:t>
      </w:r>
      <w:r>
        <w:rPr>
          <w:rFonts w:ascii="Arial" w:hAnsi="Arial" w:cs="Arial"/>
          <w:bCs/>
          <w:sz w:val="20"/>
          <w:szCs w:val="20"/>
        </w:rPr>
        <w:t xml:space="preserve">aros, ajustes ou a substituição do bem ou de seus componentes, bem como a exigir do Contratado o reembolso pelos custos respectivos, sem que tal fato acarrete a perda da garantia dos equipamentos. </w:t>
      </w:r>
    </w:p>
    <w:p w14:paraId="78CD7C1B" w14:textId="77777777" w:rsidR="00234B3E" w:rsidRDefault="001C064D" w:rsidP="001C064D">
      <w:pPr>
        <w:pStyle w:val="PargrafodaLista"/>
        <w:numPr>
          <w:ilvl w:val="1"/>
          <w:numId w:val="21"/>
        </w:numPr>
        <w:spacing w:after="0" w:line="276" w:lineRule="auto"/>
        <w:ind w:left="567"/>
        <w:jc w:val="both"/>
        <w:rPr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O custo referente ao transporte dos equipamentos cobertos pela garantia será de responsabilidade do Contratado. </w:t>
      </w:r>
    </w:p>
    <w:p w14:paraId="7E1F0833" w14:textId="77777777" w:rsidR="00234B3E" w:rsidRDefault="001C064D" w:rsidP="001C064D">
      <w:pPr>
        <w:pStyle w:val="PargrafodaLista"/>
        <w:numPr>
          <w:ilvl w:val="1"/>
          <w:numId w:val="22"/>
        </w:numPr>
        <w:spacing w:after="0" w:line="276" w:lineRule="auto"/>
        <w:ind w:left="567"/>
        <w:jc w:val="both"/>
        <w:rPr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 garantia legal ou contratual do objeto tem prazo de vigência próprio e desvinculado daquele fixado no contrato, permitindo eventual aplicação</w:t>
      </w:r>
      <w:r>
        <w:rPr>
          <w:rFonts w:ascii="Arial" w:hAnsi="Arial" w:cs="Arial"/>
          <w:bCs/>
          <w:sz w:val="20"/>
          <w:szCs w:val="20"/>
        </w:rPr>
        <w:t xml:space="preserve"> de penalidades em caso de descumprimento de alguma de suas condições, mesmo depois de expirada a vigência contratual.</w:t>
      </w:r>
    </w:p>
    <w:p w14:paraId="078A8670" w14:textId="77777777" w:rsidR="00234B3E" w:rsidRDefault="00234B3E">
      <w:pPr>
        <w:pStyle w:val="PargrafodaLista"/>
        <w:spacing w:after="0" w:line="276" w:lineRule="auto"/>
        <w:ind w:left="567" w:hanging="432"/>
        <w:jc w:val="both"/>
        <w:rPr>
          <w:rFonts w:ascii="Arial" w:hAnsi="Arial" w:cs="Arial"/>
          <w:bCs/>
          <w:sz w:val="20"/>
          <w:szCs w:val="20"/>
        </w:rPr>
      </w:pPr>
    </w:p>
    <w:p w14:paraId="68543E8B" w14:textId="77777777" w:rsidR="00234B3E" w:rsidRDefault="00234B3E">
      <w:pPr>
        <w:pStyle w:val="PargrafodaLista"/>
        <w:spacing w:after="0" w:line="276" w:lineRule="auto"/>
        <w:ind w:left="567" w:hanging="432"/>
        <w:jc w:val="both"/>
        <w:rPr>
          <w:rFonts w:ascii="Arial" w:hAnsi="Arial" w:cs="Arial"/>
          <w:bCs/>
          <w:sz w:val="20"/>
          <w:szCs w:val="20"/>
        </w:rPr>
      </w:pPr>
    </w:p>
    <w:p w14:paraId="02F03BC2" w14:textId="77777777" w:rsidR="00234B3E" w:rsidRDefault="001C064D">
      <w:pPr>
        <w:pStyle w:val="Nivel1"/>
        <w:numPr>
          <w:ilvl w:val="0"/>
          <w:numId w:val="3"/>
        </w:numPr>
        <w:spacing w:before="0" w:after="0"/>
        <w:rPr>
          <w:sz w:val="20"/>
          <w:szCs w:val="20"/>
        </w:rPr>
      </w:pPr>
      <w:r>
        <w:rPr>
          <w:sz w:val="20"/>
          <w:szCs w:val="20"/>
        </w:rPr>
        <w:t>MODELO DE GESTÃO DO CONTRATO (art. 6º, XXIII, alínea “f”, da Lei nº 14.133/21)</w:t>
      </w:r>
    </w:p>
    <w:p w14:paraId="55312C1C" w14:textId="77777777" w:rsidR="00234B3E" w:rsidRDefault="00234B3E">
      <w:pPr>
        <w:pStyle w:val="Nivel2"/>
        <w:spacing w:before="0" w:after="0"/>
        <w:rPr>
          <w:color w:val="auto"/>
          <w:sz w:val="20"/>
          <w:szCs w:val="20"/>
        </w:rPr>
      </w:pPr>
    </w:p>
    <w:p w14:paraId="5A761593" w14:textId="77777777" w:rsidR="00234B3E" w:rsidRDefault="001C064D" w:rsidP="001C064D">
      <w:pPr>
        <w:pStyle w:val="Nivel2"/>
        <w:numPr>
          <w:ilvl w:val="1"/>
          <w:numId w:val="23"/>
        </w:numPr>
        <w:spacing w:before="0" w:after="0"/>
        <w:ind w:left="0" w:firstLine="0"/>
        <w:rPr>
          <w:sz w:val="20"/>
          <w:szCs w:val="20"/>
        </w:rPr>
      </w:pPr>
      <w:r>
        <w:rPr>
          <w:color w:val="auto"/>
          <w:sz w:val="20"/>
          <w:szCs w:val="20"/>
        </w:rPr>
        <w:t>O contrato deverá ser executado fielmente pelas partes,</w:t>
      </w:r>
      <w:r>
        <w:rPr>
          <w:color w:val="auto"/>
          <w:sz w:val="20"/>
          <w:szCs w:val="20"/>
        </w:rPr>
        <w:t xml:space="preserve"> de acordo com as cláusulas avençadas e as normas da Lei nº 14.133, de 2021, e cada parte responderá pelas consequências de sua inexecução total ou parcial (Lei nº 14.133/2021, art. 115, </w:t>
      </w:r>
      <w:r>
        <w:rPr>
          <w:i/>
          <w:iCs/>
          <w:color w:val="auto"/>
          <w:sz w:val="20"/>
          <w:szCs w:val="20"/>
        </w:rPr>
        <w:t>caput</w:t>
      </w:r>
      <w:r>
        <w:rPr>
          <w:color w:val="auto"/>
          <w:sz w:val="20"/>
          <w:szCs w:val="20"/>
        </w:rPr>
        <w:t>).</w:t>
      </w:r>
    </w:p>
    <w:p w14:paraId="7F268C5A" w14:textId="77777777" w:rsidR="00234B3E" w:rsidRDefault="001C064D" w:rsidP="001C064D">
      <w:pPr>
        <w:pStyle w:val="Nivel2"/>
        <w:numPr>
          <w:ilvl w:val="1"/>
          <w:numId w:val="24"/>
        </w:numPr>
        <w:spacing w:before="0" w:after="0"/>
        <w:ind w:left="0" w:firstLine="0"/>
        <w:rPr>
          <w:sz w:val="20"/>
          <w:szCs w:val="20"/>
        </w:rPr>
      </w:pPr>
      <w:bookmarkStart w:id="1" w:name="art115§5"/>
      <w:bookmarkStart w:id="2" w:name="art115§1"/>
      <w:bookmarkEnd w:id="1"/>
      <w:bookmarkEnd w:id="2"/>
      <w:r>
        <w:rPr>
          <w:color w:val="auto"/>
          <w:sz w:val="20"/>
          <w:szCs w:val="20"/>
        </w:rPr>
        <w:t xml:space="preserve">Em caso de impedimento, ordem de paralisação ou suspensão do </w:t>
      </w:r>
      <w:r>
        <w:rPr>
          <w:color w:val="auto"/>
          <w:sz w:val="20"/>
          <w:szCs w:val="20"/>
        </w:rPr>
        <w:t>contrato, o cronograma de execução será prorrogado automaticamente pelo tempo correspondente, anotadas tais circunstâncias mediante simples apostila (Lei nº 14.133/2021, art. 115, §5º).</w:t>
      </w:r>
    </w:p>
    <w:p w14:paraId="04E364BD" w14:textId="77777777" w:rsidR="00234B3E" w:rsidRDefault="001C064D" w:rsidP="001C064D">
      <w:pPr>
        <w:pStyle w:val="Nivel2"/>
        <w:numPr>
          <w:ilvl w:val="1"/>
          <w:numId w:val="25"/>
        </w:numPr>
        <w:spacing w:before="0" w:after="0"/>
        <w:ind w:left="0" w:firstLine="0"/>
        <w:rPr>
          <w:sz w:val="20"/>
          <w:szCs w:val="20"/>
        </w:rPr>
      </w:pPr>
      <w:bookmarkStart w:id="3" w:name="art116"/>
      <w:bookmarkEnd w:id="3"/>
      <w:r>
        <w:rPr>
          <w:color w:val="auto"/>
          <w:sz w:val="20"/>
          <w:szCs w:val="20"/>
        </w:rPr>
        <w:t>A execução do contrato deverá ser acompanhada e fiscalizada pelo(s) fi</w:t>
      </w:r>
      <w:r>
        <w:rPr>
          <w:color w:val="auto"/>
          <w:sz w:val="20"/>
          <w:szCs w:val="20"/>
        </w:rPr>
        <w:t xml:space="preserve">scal(is) do contrato, ou pelos respectivos substitutos (Lei nº 14.133/2021, art. 117, </w:t>
      </w:r>
      <w:r>
        <w:rPr>
          <w:i/>
          <w:iCs/>
          <w:color w:val="auto"/>
          <w:sz w:val="20"/>
          <w:szCs w:val="20"/>
        </w:rPr>
        <w:t>caput</w:t>
      </w:r>
      <w:r>
        <w:rPr>
          <w:color w:val="auto"/>
          <w:sz w:val="20"/>
          <w:szCs w:val="20"/>
        </w:rPr>
        <w:t>).</w:t>
      </w:r>
    </w:p>
    <w:p w14:paraId="229C6CDF" w14:textId="77777777" w:rsidR="00234B3E" w:rsidRDefault="001C064D" w:rsidP="001C064D">
      <w:pPr>
        <w:pStyle w:val="Nivel3"/>
        <w:numPr>
          <w:ilvl w:val="2"/>
          <w:numId w:val="26"/>
        </w:numPr>
        <w:spacing w:before="0" w:after="0"/>
        <w:ind w:left="425" w:firstLine="0"/>
      </w:pPr>
      <w:r>
        <w:t xml:space="preserve">O fiscal do contrato anotará em registro próprio todas as ocorrências relacionadas à execução do contrato, determinando o que for necessário para a regularização </w:t>
      </w:r>
      <w:r>
        <w:t>das faltas ou dos defeitos observados (Lei nº 14.133/2021, art. 117, §1º).</w:t>
      </w:r>
    </w:p>
    <w:p w14:paraId="6609620E" w14:textId="77777777" w:rsidR="00234B3E" w:rsidRDefault="001C064D" w:rsidP="001C064D">
      <w:pPr>
        <w:pStyle w:val="Nivel3"/>
        <w:numPr>
          <w:ilvl w:val="2"/>
          <w:numId w:val="27"/>
        </w:numPr>
        <w:spacing w:before="0" w:after="0"/>
        <w:ind w:left="425" w:firstLine="0"/>
      </w:pPr>
      <w:bookmarkStart w:id="4" w:name="art117§2"/>
      <w:bookmarkEnd w:id="4"/>
      <w:r>
        <w:t xml:space="preserve">O fiscal do contrato informará a seus superiores, em tempo hábil para a adoção das medidas convenientes, a situação que demandar decisão ou providência que ultrapasse sua </w:t>
      </w:r>
      <w:r>
        <w:t>competência (Lei nº 14.133/2021, art. 117, §2º).</w:t>
      </w:r>
    </w:p>
    <w:p w14:paraId="11039206" w14:textId="77777777" w:rsidR="00234B3E" w:rsidRDefault="001C064D" w:rsidP="001C064D">
      <w:pPr>
        <w:pStyle w:val="Nivel2"/>
        <w:numPr>
          <w:ilvl w:val="1"/>
          <w:numId w:val="28"/>
        </w:numPr>
        <w:spacing w:before="0" w:after="0"/>
        <w:ind w:left="0" w:firstLine="0"/>
        <w:rPr>
          <w:sz w:val="20"/>
          <w:szCs w:val="20"/>
        </w:rPr>
      </w:pPr>
      <w:r>
        <w:rPr>
          <w:color w:val="auto"/>
          <w:sz w:val="20"/>
          <w:szCs w:val="20"/>
        </w:rPr>
        <w:t xml:space="preserve">O contratado será obrigado a reparar, corrigir, remover, reconstruir ou substituir, a suas expensas, no total ou em parte, o objeto do contrato em que se verificarem vícios, defeitos ou </w:t>
      </w:r>
      <w:r>
        <w:rPr>
          <w:color w:val="auto"/>
          <w:sz w:val="20"/>
          <w:szCs w:val="20"/>
        </w:rPr>
        <w:t>incorreções resultantes de sua execução ou de materiais nela empregados (Lei nº 14.133/2021, art. 119).</w:t>
      </w:r>
    </w:p>
    <w:p w14:paraId="5105A8FA" w14:textId="77777777" w:rsidR="00234B3E" w:rsidRDefault="001C064D" w:rsidP="001C064D">
      <w:pPr>
        <w:pStyle w:val="Nivel2"/>
        <w:numPr>
          <w:ilvl w:val="1"/>
          <w:numId w:val="29"/>
        </w:numPr>
        <w:spacing w:before="0" w:after="0"/>
        <w:ind w:left="0" w:firstLine="0"/>
        <w:rPr>
          <w:sz w:val="20"/>
          <w:szCs w:val="20"/>
        </w:rPr>
      </w:pPr>
      <w:bookmarkStart w:id="5" w:name="art120"/>
      <w:bookmarkEnd w:id="5"/>
      <w:r>
        <w:rPr>
          <w:color w:val="auto"/>
          <w:sz w:val="20"/>
          <w:szCs w:val="20"/>
        </w:rPr>
        <w:t>O contratado será responsável pelos danos causados diretamente à Administração ou a terceiros em razão da execução do contrato, e não excluirá nem reduz</w:t>
      </w:r>
      <w:r>
        <w:rPr>
          <w:color w:val="auto"/>
          <w:sz w:val="20"/>
          <w:szCs w:val="20"/>
        </w:rPr>
        <w:t>irá essa responsabilidade a fiscalização ou o acompanhamento pelo contratante (Lei nº 14.133/2021, art. 120).</w:t>
      </w:r>
    </w:p>
    <w:p w14:paraId="61304C85" w14:textId="77777777" w:rsidR="00234B3E" w:rsidRDefault="001C064D" w:rsidP="001C064D">
      <w:pPr>
        <w:pStyle w:val="Nivel2"/>
        <w:numPr>
          <w:ilvl w:val="1"/>
          <w:numId w:val="30"/>
        </w:numPr>
        <w:spacing w:before="0" w:after="0"/>
        <w:ind w:left="0" w:firstLine="0"/>
        <w:rPr>
          <w:sz w:val="20"/>
          <w:szCs w:val="20"/>
        </w:rPr>
      </w:pPr>
      <w:bookmarkStart w:id="6" w:name="art121"/>
      <w:bookmarkEnd w:id="6"/>
      <w:r>
        <w:rPr>
          <w:color w:val="auto"/>
          <w:sz w:val="20"/>
          <w:szCs w:val="20"/>
        </w:rPr>
        <w:t xml:space="preserve">Somente o contratado será responsável pelos encargos trabalhistas, previdenciários, fiscais e comerciais resultantes da execução do contrato (Lei </w:t>
      </w:r>
      <w:r>
        <w:rPr>
          <w:color w:val="auto"/>
          <w:sz w:val="20"/>
          <w:szCs w:val="20"/>
        </w:rPr>
        <w:t xml:space="preserve">nº 14.133/2021, art. 121, </w:t>
      </w:r>
      <w:r>
        <w:rPr>
          <w:i/>
          <w:iCs/>
          <w:color w:val="auto"/>
          <w:sz w:val="20"/>
          <w:szCs w:val="20"/>
        </w:rPr>
        <w:t>caput</w:t>
      </w:r>
      <w:r>
        <w:rPr>
          <w:color w:val="auto"/>
          <w:sz w:val="20"/>
          <w:szCs w:val="20"/>
        </w:rPr>
        <w:t>).</w:t>
      </w:r>
    </w:p>
    <w:p w14:paraId="14F47205" w14:textId="77777777" w:rsidR="00234B3E" w:rsidRDefault="001C064D" w:rsidP="001C064D">
      <w:pPr>
        <w:pStyle w:val="Nivel3"/>
        <w:numPr>
          <w:ilvl w:val="2"/>
          <w:numId w:val="31"/>
        </w:numPr>
        <w:spacing w:before="0" w:after="0"/>
        <w:ind w:left="425" w:firstLine="0"/>
      </w:pPr>
      <w:bookmarkStart w:id="7" w:name="art121§1"/>
      <w:bookmarkEnd w:id="7"/>
      <w:r>
        <w:lastRenderedPageBreak/>
        <w:t>A inadimplência do contratado em relação aos encargos trabalhistas, fiscais e comerciais não transferirá à Administração a responsabilidade pelo seu pagamento e não poderá onerar o objeto do contrato (Lei nº 14.133/2021, a</w:t>
      </w:r>
      <w:r>
        <w:t>rt. 121, §1º).</w:t>
      </w:r>
    </w:p>
    <w:p w14:paraId="00C6EC48" w14:textId="77777777" w:rsidR="00234B3E" w:rsidRDefault="001C064D" w:rsidP="001C064D">
      <w:pPr>
        <w:pStyle w:val="Nivel2"/>
        <w:numPr>
          <w:ilvl w:val="1"/>
          <w:numId w:val="32"/>
        </w:numPr>
        <w:spacing w:before="0" w:after="0"/>
        <w:ind w:left="0" w:firstLine="0"/>
        <w:rPr>
          <w:sz w:val="20"/>
          <w:szCs w:val="20"/>
        </w:rPr>
      </w:pPr>
      <w:bookmarkStart w:id="8" w:name="art123"/>
      <w:bookmarkStart w:id="9" w:name="art122§3"/>
      <w:bookmarkStart w:id="10" w:name="art122§2"/>
      <w:bookmarkStart w:id="11" w:name="art122§1"/>
      <w:bookmarkStart w:id="12" w:name="art122"/>
      <w:bookmarkEnd w:id="8"/>
      <w:bookmarkEnd w:id="9"/>
      <w:bookmarkEnd w:id="10"/>
      <w:bookmarkEnd w:id="11"/>
      <w:bookmarkEnd w:id="12"/>
      <w:r>
        <w:rPr>
          <w:sz w:val="20"/>
          <w:szCs w:val="20"/>
        </w:rPr>
        <w:t>As comunicações entre o órgão ou entidade e a contratada devem ser realizadas por escrito sempre que o ato exigir tal formalidade, admitindo-se, excepcionalmente, o uso de mensagem eletrônica para esse fim (IN 5/2017, art. 44, §2º).</w:t>
      </w:r>
    </w:p>
    <w:p w14:paraId="6A633E0D" w14:textId="77777777" w:rsidR="00234B3E" w:rsidRDefault="001C064D" w:rsidP="001C064D">
      <w:pPr>
        <w:pStyle w:val="Nivel2"/>
        <w:numPr>
          <w:ilvl w:val="1"/>
          <w:numId w:val="33"/>
        </w:numPr>
        <w:spacing w:before="0" w:after="0"/>
        <w:ind w:left="0" w:firstLine="0"/>
        <w:rPr>
          <w:sz w:val="20"/>
          <w:szCs w:val="20"/>
        </w:rPr>
      </w:pPr>
      <w:r>
        <w:rPr>
          <w:sz w:val="20"/>
          <w:szCs w:val="20"/>
        </w:rPr>
        <w:t xml:space="preserve">O órgão </w:t>
      </w:r>
      <w:r>
        <w:rPr>
          <w:sz w:val="20"/>
          <w:szCs w:val="20"/>
        </w:rPr>
        <w:t>ou entidade poderá convocar representante da empresa para adoção de providências que devam ser cumpridas de imediato (IN 5/2017, art. 44, 31º).</w:t>
      </w:r>
    </w:p>
    <w:p w14:paraId="7C5065E4" w14:textId="77777777" w:rsidR="00234B3E" w:rsidRDefault="001C064D" w:rsidP="001C064D">
      <w:pPr>
        <w:pStyle w:val="Nivel2"/>
        <w:numPr>
          <w:ilvl w:val="1"/>
          <w:numId w:val="34"/>
        </w:numPr>
        <w:spacing w:before="0" w:after="0"/>
        <w:ind w:left="0" w:firstLine="0"/>
        <w:rPr>
          <w:sz w:val="20"/>
          <w:szCs w:val="20"/>
        </w:rPr>
      </w:pPr>
      <w:r>
        <w:rPr>
          <w:sz w:val="20"/>
          <w:szCs w:val="20"/>
        </w:rPr>
        <w:t>Antes do pagamento da nota fiscal ou da fatura, deverá ser consultada a situação da empresa junto ao SICAF.</w:t>
      </w:r>
    </w:p>
    <w:p w14:paraId="3361DA15" w14:textId="77777777" w:rsidR="00234B3E" w:rsidRDefault="001C064D" w:rsidP="001C064D">
      <w:pPr>
        <w:pStyle w:val="Nivel2"/>
        <w:numPr>
          <w:ilvl w:val="1"/>
          <w:numId w:val="35"/>
        </w:numPr>
        <w:spacing w:before="0" w:after="0"/>
        <w:ind w:left="0" w:firstLine="0"/>
        <w:rPr>
          <w:sz w:val="20"/>
          <w:szCs w:val="20"/>
        </w:rPr>
      </w:pPr>
      <w:r>
        <w:rPr>
          <w:sz w:val="20"/>
          <w:szCs w:val="20"/>
        </w:rPr>
        <w:t>Serã</w:t>
      </w:r>
      <w:r>
        <w:rPr>
          <w:sz w:val="20"/>
          <w:szCs w:val="20"/>
        </w:rPr>
        <w:t>o exigidos a Certidão Negativa de Débito (CND) relativa a Créditos Tributários Federais e à Dívida Ativa da União, o Certificado de Regularidade do FGTS (CRF) e a Certidão Negativa de Débitos Trabalhistas (CNDT), caso esses documentos não estejam regulariz</w:t>
      </w:r>
      <w:r>
        <w:rPr>
          <w:sz w:val="20"/>
          <w:szCs w:val="20"/>
        </w:rPr>
        <w:t>ados no SICAF.</w:t>
      </w:r>
    </w:p>
    <w:p w14:paraId="4BF83404" w14:textId="77777777" w:rsidR="00234B3E" w:rsidRDefault="00234B3E">
      <w:pPr>
        <w:pStyle w:val="Nivel2"/>
        <w:spacing w:before="0" w:after="0"/>
        <w:ind w:left="432"/>
        <w:rPr>
          <w:color w:val="auto"/>
          <w:sz w:val="20"/>
          <w:szCs w:val="20"/>
        </w:rPr>
      </w:pPr>
    </w:p>
    <w:p w14:paraId="0BF055DF" w14:textId="77777777" w:rsidR="00234B3E" w:rsidRDefault="001C064D">
      <w:pPr>
        <w:pStyle w:val="Nivel1"/>
        <w:numPr>
          <w:ilvl w:val="0"/>
          <w:numId w:val="3"/>
        </w:numPr>
        <w:spacing w:before="0" w:after="0"/>
        <w:rPr>
          <w:sz w:val="20"/>
          <w:szCs w:val="20"/>
        </w:rPr>
      </w:pPr>
      <w:r>
        <w:rPr>
          <w:i/>
          <w:iCs/>
          <w:color w:val="auto"/>
          <w:sz w:val="20"/>
          <w:szCs w:val="20"/>
        </w:rPr>
        <w:t xml:space="preserve">FORMA E CRITÉRIOS DE SELEÇÃO DO FORNECEDOR MEDIANTE O USO DO SISTEMA DE DISPENSA ELETRÔNICA (art. 6º, inciso XXIII, alínea ‘h’, da Lei nº 14.133/2021) </w:t>
      </w:r>
    </w:p>
    <w:p w14:paraId="1E1B0C61" w14:textId="77777777" w:rsidR="00234B3E" w:rsidRDefault="00234B3E">
      <w:pPr>
        <w:rPr>
          <w:sz w:val="20"/>
          <w:szCs w:val="20"/>
        </w:rPr>
      </w:pPr>
    </w:p>
    <w:p w14:paraId="0EB699D7" w14:textId="77777777" w:rsidR="00234B3E" w:rsidRDefault="001C064D" w:rsidP="001C064D">
      <w:pPr>
        <w:pStyle w:val="Nivel2"/>
        <w:numPr>
          <w:ilvl w:val="1"/>
          <w:numId w:val="36"/>
        </w:numPr>
        <w:spacing w:before="0" w:after="0"/>
        <w:ind w:left="0" w:firstLine="0"/>
        <w:rPr>
          <w:sz w:val="20"/>
          <w:szCs w:val="20"/>
        </w:rPr>
      </w:pPr>
      <w:r>
        <w:rPr>
          <w:i/>
          <w:iCs/>
          <w:color w:val="auto"/>
          <w:sz w:val="20"/>
          <w:szCs w:val="20"/>
        </w:rPr>
        <w:t xml:space="preserve">O fornecedor será selecionado por meio da realização de procedimento de dispensa de licitação, na forma eletrônica, com fundamento na hipótese do art. 75, inciso </w:t>
      </w:r>
      <w:r>
        <w:rPr>
          <w:i/>
          <w:iCs/>
          <w:color w:val="auto"/>
          <w:sz w:val="20"/>
          <w:szCs w:val="20"/>
        </w:rPr>
        <w:t>II</w:t>
      </w:r>
      <w:r>
        <w:rPr>
          <w:i/>
          <w:iCs/>
          <w:color w:val="auto"/>
          <w:sz w:val="20"/>
          <w:szCs w:val="20"/>
        </w:rPr>
        <w:t xml:space="preserve"> da Lei n.º 14.133/2021 (indicar um dos incisos do art. 75, da Lei n.º 14.133/2021, conforme</w:t>
      </w:r>
      <w:r>
        <w:rPr>
          <w:i/>
          <w:iCs/>
          <w:color w:val="auto"/>
          <w:sz w:val="20"/>
          <w:szCs w:val="20"/>
        </w:rPr>
        <w:t xml:space="preserve"> o caso concreto), que culminará com a seleção da proposta de menor preço .</w:t>
      </w:r>
    </w:p>
    <w:p w14:paraId="0E389437" w14:textId="77777777" w:rsidR="00234B3E" w:rsidRDefault="001C064D">
      <w:pPr>
        <w:pStyle w:val="Nivel2"/>
        <w:numPr>
          <w:ilvl w:val="1"/>
          <w:numId w:val="3"/>
        </w:numPr>
        <w:spacing w:before="0" w:after="0"/>
        <w:ind w:left="0" w:firstLine="0"/>
        <w:rPr>
          <w:sz w:val="20"/>
          <w:szCs w:val="20"/>
        </w:rPr>
      </w:pPr>
      <w:r>
        <w:rPr>
          <w:rFonts w:eastAsia="Times New Roman"/>
          <w:i/>
          <w:iCs/>
          <w:color w:val="auto"/>
          <w:sz w:val="20"/>
          <w:szCs w:val="20"/>
          <w:lang w:eastAsia="pt-BR"/>
        </w:rPr>
        <w:t xml:space="preserve">As exigências de habilitação jurídica, </w:t>
      </w:r>
      <w:r>
        <w:rPr>
          <w:rFonts w:eastAsia="WenQuanYi Micro Hei"/>
          <w:i/>
          <w:iCs/>
          <w:color w:val="auto"/>
          <w:sz w:val="20"/>
          <w:szCs w:val="20"/>
          <w:lang w:eastAsia="zh-CN" w:bidi="hi-IN"/>
        </w:rPr>
        <w:t xml:space="preserve">fiscal, social e trabalhista </w:t>
      </w:r>
      <w:r>
        <w:rPr>
          <w:rFonts w:eastAsia="Times New Roman"/>
          <w:i/>
          <w:iCs/>
          <w:color w:val="auto"/>
          <w:sz w:val="20"/>
          <w:szCs w:val="20"/>
          <w:lang w:eastAsia="pt-BR"/>
        </w:rPr>
        <w:t xml:space="preserve">são as usuais para a generalidade dos objetos, conforme disciplinado no Anexo I do Aviso de </w:t>
      </w:r>
      <w:r>
        <w:rPr>
          <w:i/>
          <w:iCs/>
          <w:color w:val="auto"/>
          <w:sz w:val="20"/>
          <w:szCs w:val="20"/>
        </w:rPr>
        <w:t>Contratação</w:t>
      </w:r>
      <w:r>
        <w:rPr>
          <w:rFonts w:eastAsia="Times New Roman"/>
          <w:i/>
          <w:iCs/>
          <w:color w:val="auto"/>
          <w:sz w:val="20"/>
          <w:szCs w:val="20"/>
          <w:lang w:eastAsia="pt-BR"/>
        </w:rPr>
        <w:t xml:space="preserve"> Direta.</w:t>
      </w:r>
    </w:p>
    <w:p w14:paraId="2B9AC3EB" w14:textId="77777777" w:rsidR="00234B3E" w:rsidRDefault="001C064D">
      <w:pPr>
        <w:pStyle w:val="Nivel2"/>
        <w:numPr>
          <w:ilvl w:val="1"/>
          <w:numId w:val="3"/>
        </w:numPr>
        <w:spacing w:before="0" w:after="0"/>
        <w:ind w:left="0" w:firstLine="0"/>
        <w:rPr>
          <w:sz w:val="20"/>
          <w:szCs w:val="20"/>
        </w:rPr>
      </w:pPr>
      <w:r>
        <w:rPr>
          <w:rFonts w:eastAsia="Times New Roman"/>
          <w:i/>
          <w:iCs/>
          <w:color w:val="auto"/>
          <w:sz w:val="20"/>
          <w:szCs w:val="20"/>
          <w:lang w:eastAsia="pt-BR"/>
        </w:rPr>
        <w:t>Os critérios de habilitação econômico-financeira a serem atendidos pelo fornecedor estão previstos no Anexo I do Aviso de Contratação Direta.</w:t>
      </w:r>
    </w:p>
    <w:p w14:paraId="6B5AE237" w14:textId="77777777" w:rsidR="00234B3E" w:rsidRDefault="001C064D">
      <w:pPr>
        <w:pStyle w:val="Nivel2"/>
        <w:numPr>
          <w:ilvl w:val="1"/>
          <w:numId w:val="3"/>
        </w:numPr>
        <w:spacing w:before="0" w:after="0"/>
        <w:ind w:left="0" w:firstLine="0"/>
        <w:rPr>
          <w:sz w:val="20"/>
          <w:szCs w:val="20"/>
        </w:rPr>
      </w:pPr>
      <w:r>
        <w:rPr>
          <w:rFonts w:eastAsia="Times New Roman"/>
          <w:i/>
          <w:iCs/>
          <w:color w:val="auto"/>
          <w:sz w:val="20"/>
          <w:szCs w:val="20"/>
          <w:lang w:eastAsia="pt-BR"/>
        </w:rPr>
        <w:t>Os critérios de habilitação técnica a serem atendidos pelo fornecedor serão:</w:t>
      </w:r>
    </w:p>
    <w:p w14:paraId="18A53BA3" w14:textId="77777777" w:rsidR="00234B3E" w:rsidRDefault="001C064D">
      <w:pPr>
        <w:pStyle w:val="Nivel2"/>
        <w:numPr>
          <w:ilvl w:val="2"/>
          <w:numId w:val="3"/>
        </w:numPr>
        <w:spacing w:before="0" w:after="0"/>
        <w:rPr>
          <w:sz w:val="20"/>
          <w:szCs w:val="20"/>
        </w:rPr>
      </w:pPr>
      <w:r>
        <w:rPr>
          <w:color w:val="auto"/>
          <w:sz w:val="20"/>
          <w:szCs w:val="20"/>
        </w:rPr>
        <w:t>Comprovação</w:t>
      </w:r>
      <w:r>
        <w:rPr>
          <w:rFonts w:eastAsia="Times New Roman"/>
          <w:color w:val="auto"/>
          <w:sz w:val="20"/>
          <w:szCs w:val="20"/>
          <w:lang w:eastAsia="pt-BR"/>
        </w:rPr>
        <w:t xml:space="preserve"> de aptidão para o forneci</w:t>
      </w:r>
      <w:r>
        <w:rPr>
          <w:rFonts w:eastAsia="Times New Roman"/>
          <w:color w:val="auto"/>
          <w:sz w:val="20"/>
          <w:szCs w:val="20"/>
          <w:lang w:eastAsia="pt-BR"/>
        </w:rPr>
        <w:t xml:space="preserve">mento de bens similares de complexidade tecnológica e operacional equivalente ou superior com o objeto desta contratação, ou com o item pertinente, por meio da apresentação de certidões ou atestados, por pessoas jurídicas de direito público ou privado, ou </w:t>
      </w:r>
      <w:r>
        <w:rPr>
          <w:rFonts w:eastAsia="Times New Roman"/>
          <w:color w:val="auto"/>
          <w:sz w:val="20"/>
          <w:szCs w:val="20"/>
          <w:lang w:eastAsia="pt-BR"/>
        </w:rPr>
        <w:t>regularmente emitido(s) pelo conselho profissional competente, quando for o caso.</w:t>
      </w:r>
    </w:p>
    <w:p w14:paraId="15EDA62C" w14:textId="77777777" w:rsidR="00234B3E" w:rsidRDefault="00234B3E">
      <w:pPr>
        <w:pStyle w:val="Nivel2"/>
        <w:spacing w:before="0" w:after="0"/>
        <w:ind w:left="2491"/>
        <w:rPr>
          <w:color w:val="auto"/>
          <w:sz w:val="20"/>
          <w:szCs w:val="20"/>
        </w:rPr>
      </w:pPr>
    </w:p>
    <w:p w14:paraId="590CA42C" w14:textId="77777777" w:rsidR="00234B3E" w:rsidRDefault="001C064D">
      <w:pPr>
        <w:pStyle w:val="Nivel2"/>
        <w:numPr>
          <w:ilvl w:val="2"/>
          <w:numId w:val="3"/>
        </w:numPr>
        <w:spacing w:before="0" w:after="0"/>
        <w:rPr>
          <w:sz w:val="20"/>
          <w:szCs w:val="20"/>
        </w:rPr>
      </w:pPr>
      <w:r>
        <w:rPr>
          <w:color w:val="auto"/>
          <w:sz w:val="20"/>
          <w:szCs w:val="20"/>
        </w:rPr>
        <w:t>Os atestados de capacidade técnica poderão ser apresentados em nome da matriz ou da filial do fornecedor.</w:t>
      </w:r>
    </w:p>
    <w:p w14:paraId="5503230B" w14:textId="77777777" w:rsidR="00234B3E" w:rsidRDefault="001C064D">
      <w:pPr>
        <w:pStyle w:val="Nivel2"/>
        <w:numPr>
          <w:ilvl w:val="2"/>
          <w:numId w:val="3"/>
        </w:numPr>
        <w:spacing w:before="0" w:after="0"/>
        <w:rPr>
          <w:sz w:val="20"/>
          <w:szCs w:val="20"/>
        </w:rPr>
      </w:pPr>
      <w:r>
        <w:rPr>
          <w:bCs/>
          <w:color w:val="auto"/>
          <w:sz w:val="20"/>
          <w:szCs w:val="20"/>
        </w:rPr>
        <w:t xml:space="preserve">O fornecedor </w:t>
      </w:r>
      <w:r>
        <w:rPr>
          <w:color w:val="auto"/>
          <w:sz w:val="20"/>
          <w:szCs w:val="20"/>
        </w:rPr>
        <w:t>disponibilizará</w:t>
      </w:r>
      <w:r>
        <w:rPr>
          <w:bCs/>
          <w:color w:val="auto"/>
          <w:sz w:val="20"/>
          <w:szCs w:val="20"/>
        </w:rPr>
        <w:t xml:space="preserve"> todas as informações necessárias à </w:t>
      </w:r>
      <w:r>
        <w:rPr>
          <w:color w:val="auto"/>
          <w:sz w:val="20"/>
          <w:szCs w:val="20"/>
        </w:rPr>
        <w:t>comprovação</w:t>
      </w:r>
      <w:r>
        <w:rPr>
          <w:bCs/>
          <w:color w:val="auto"/>
          <w:sz w:val="20"/>
          <w:szCs w:val="20"/>
        </w:rPr>
        <w:t xml:space="preserve"> da legitimidade dos atestados, apresentando, quando solicitado pela Administração, </w:t>
      </w:r>
      <w:r>
        <w:rPr>
          <w:color w:val="auto"/>
          <w:sz w:val="20"/>
          <w:szCs w:val="20"/>
        </w:rPr>
        <w:t>cópia</w:t>
      </w:r>
      <w:r>
        <w:rPr>
          <w:bCs/>
          <w:color w:val="auto"/>
          <w:sz w:val="20"/>
          <w:szCs w:val="20"/>
        </w:rPr>
        <w:t xml:space="preserve"> do contrato que deu suporte à contratação, endereço atual da contratante e local em que foi executado o objeto contratado, dentre outros documentos.</w:t>
      </w:r>
    </w:p>
    <w:p w14:paraId="74644EE2" w14:textId="77777777" w:rsidR="00234B3E" w:rsidRDefault="00234B3E">
      <w:pPr>
        <w:pStyle w:val="Nivel2"/>
        <w:spacing w:before="0" w:after="0"/>
        <w:ind w:left="930"/>
        <w:rPr>
          <w:bCs/>
          <w:i/>
          <w:color w:val="FF0000"/>
          <w:sz w:val="20"/>
          <w:szCs w:val="20"/>
        </w:rPr>
      </w:pPr>
    </w:p>
    <w:p w14:paraId="473337E6" w14:textId="77777777" w:rsidR="00234B3E" w:rsidRDefault="001C064D" w:rsidP="001C064D">
      <w:pPr>
        <w:pStyle w:val="Nivel1"/>
        <w:numPr>
          <w:ilvl w:val="0"/>
          <w:numId w:val="37"/>
        </w:numPr>
        <w:spacing w:before="0" w:after="0"/>
        <w:rPr>
          <w:sz w:val="20"/>
          <w:szCs w:val="20"/>
        </w:rPr>
      </w:pPr>
      <w:r>
        <w:rPr>
          <w:color w:val="auto"/>
          <w:sz w:val="20"/>
          <w:szCs w:val="20"/>
        </w:rPr>
        <w:t>FORMA</w:t>
      </w:r>
      <w:r>
        <w:rPr>
          <w:color w:val="auto"/>
          <w:sz w:val="20"/>
          <w:szCs w:val="20"/>
        </w:rPr>
        <w:t xml:space="preserve"> E CRITÉRIOS DE SELEÇÃO DO FORNECEDOR (art. 6º, inciso XXIII, alínea ‘h’, da Lei nº 14.133/2021) </w:t>
      </w:r>
    </w:p>
    <w:p w14:paraId="12F45FE1" w14:textId="77777777" w:rsidR="00234B3E" w:rsidRDefault="001C064D">
      <w:pPr>
        <w:pStyle w:val="Nivel2"/>
        <w:numPr>
          <w:ilvl w:val="1"/>
          <w:numId w:val="3"/>
        </w:numPr>
        <w:spacing w:before="0" w:after="0"/>
        <w:ind w:left="284" w:firstLine="0"/>
        <w:rPr>
          <w:sz w:val="20"/>
          <w:szCs w:val="20"/>
        </w:rPr>
      </w:pPr>
      <w:r>
        <w:rPr>
          <w:i/>
          <w:color w:val="auto"/>
          <w:sz w:val="20"/>
          <w:szCs w:val="20"/>
        </w:rPr>
        <w:t>O fornecedor será selecionado por meio da realização de procedimento de dispensa de licitação, com fundamento na hipótese do art. 75, inciso II, da Lei nº 14.</w:t>
      </w:r>
      <w:r>
        <w:rPr>
          <w:i/>
          <w:color w:val="auto"/>
          <w:sz w:val="20"/>
          <w:szCs w:val="20"/>
        </w:rPr>
        <w:t xml:space="preserve">133/2021 </w:t>
      </w:r>
      <w:r>
        <w:rPr>
          <w:i/>
          <w:iCs/>
          <w:color w:val="auto"/>
          <w:sz w:val="20"/>
          <w:szCs w:val="20"/>
        </w:rPr>
        <w:t xml:space="preserve">(indicar um dos incisos do art. 75, da Lei nº 14.133/2021, conforme o caso concreto). </w:t>
      </w:r>
    </w:p>
    <w:p w14:paraId="440EEEBD" w14:textId="77777777" w:rsidR="00234B3E" w:rsidRDefault="00234B3E">
      <w:pPr>
        <w:pStyle w:val="Nivel2"/>
        <w:spacing w:before="0" w:after="0"/>
        <w:rPr>
          <w:i/>
          <w:color w:val="auto"/>
          <w:sz w:val="20"/>
          <w:szCs w:val="20"/>
        </w:rPr>
      </w:pPr>
    </w:p>
    <w:p w14:paraId="0BE9A4C0" w14:textId="77777777" w:rsidR="00234B3E" w:rsidRDefault="001C064D">
      <w:pPr>
        <w:pStyle w:val="Nivel2"/>
        <w:numPr>
          <w:ilvl w:val="1"/>
          <w:numId w:val="3"/>
        </w:numPr>
        <w:spacing w:before="0" w:after="0"/>
        <w:ind w:left="284" w:firstLine="0"/>
        <w:rPr>
          <w:sz w:val="20"/>
          <w:szCs w:val="20"/>
        </w:rPr>
      </w:pPr>
      <w:r>
        <w:rPr>
          <w:i/>
          <w:iCs/>
          <w:color w:val="auto"/>
          <w:sz w:val="20"/>
          <w:szCs w:val="20"/>
        </w:rPr>
        <w:t>Previamente à celebração do contrato, a Administração verificará o eventual descumprimento das condições para contratação, especialmente quanto à existência de</w:t>
      </w:r>
      <w:r>
        <w:rPr>
          <w:i/>
          <w:iCs/>
          <w:color w:val="auto"/>
          <w:sz w:val="20"/>
          <w:szCs w:val="20"/>
        </w:rPr>
        <w:t xml:space="preserve"> sanção que a impeça, mediante a consulta a cadastros informativos oficiais, tais como:  </w:t>
      </w:r>
    </w:p>
    <w:p w14:paraId="1D62164B" w14:textId="77777777" w:rsidR="00234B3E" w:rsidRDefault="001C064D">
      <w:pPr>
        <w:pStyle w:val="PargrafodaLista"/>
        <w:spacing w:before="120" w:after="120" w:line="276" w:lineRule="auto"/>
        <w:ind w:left="1134"/>
        <w:jc w:val="both"/>
        <w:rPr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 xml:space="preserve">a) SICAF;  </w:t>
      </w:r>
    </w:p>
    <w:p w14:paraId="56FE0C18" w14:textId="77777777" w:rsidR="00234B3E" w:rsidRDefault="001C064D">
      <w:pPr>
        <w:pStyle w:val="PargrafodaLista"/>
        <w:spacing w:before="120" w:after="120" w:line="276" w:lineRule="auto"/>
        <w:ind w:left="1134"/>
        <w:jc w:val="both"/>
      </w:pPr>
      <w:r>
        <w:rPr>
          <w:rFonts w:ascii="Arial" w:hAnsi="Arial" w:cs="Arial"/>
          <w:i/>
          <w:iCs/>
          <w:sz w:val="20"/>
          <w:szCs w:val="20"/>
          <w:lang w:eastAsia="ar-SA"/>
        </w:rPr>
        <w:t>b) Cadastro Nacional de Empresas Inidôneas e Suspensas - CEIS, mantido pela Controladoria-Geral da União (</w:t>
      </w:r>
      <w:hyperlink r:id="rId12">
        <w:r>
          <w:rPr>
            <w:rStyle w:val="LinkdaInternet"/>
            <w:rFonts w:ascii="Arial" w:hAnsi="Arial" w:cs="Arial"/>
            <w:i/>
            <w:iCs/>
            <w:color w:val="auto"/>
            <w:sz w:val="20"/>
            <w:szCs w:val="20"/>
            <w:lang w:eastAsia="ar-SA"/>
          </w:rPr>
          <w:t>www.portaldatransparencia.gov.br/ceis</w:t>
        </w:r>
      </w:hyperlink>
      <w:r>
        <w:rPr>
          <w:rFonts w:ascii="Arial" w:hAnsi="Arial" w:cs="Arial"/>
          <w:i/>
          <w:iCs/>
          <w:sz w:val="20"/>
          <w:szCs w:val="20"/>
          <w:lang w:eastAsia="ar-SA"/>
        </w:rPr>
        <w:t xml:space="preserve">);  </w:t>
      </w:r>
    </w:p>
    <w:p w14:paraId="6B22CE2E" w14:textId="77777777" w:rsidR="00234B3E" w:rsidRDefault="001C064D">
      <w:pPr>
        <w:pStyle w:val="PargrafodaLista"/>
        <w:spacing w:before="120" w:after="120" w:line="276" w:lineRule="auto"/>
        <w:ind w:left="1134"/>
        <w:jc w:val="both"/>
      </w:pPr>
      <w:r>
        <w:rPr>
          <w:rFonts w:ascii="Arial" w:hAnsi="Arial" w:cs="Arial"/>
          <w:i/>
          <w:iCs/>
          <w:sz w:val="20"/>
          <w:szCs w:val="20"/>
          <w:lang w:eastAsia="ar-SA"/>
        </w:rPr>
        <w:t>c) Cadastro Nacional de Empresas Punidas – CNEP, mantido pela Controladoria-Geral da União (</w:t>
      </w:r>
      <w:hyperlink r:id="rId13">
        <w:r>
          <w:rPr>
            <w:rStyle w:val="LinkdaInternet"/>
            <w:rFonts w:ascii="Arial" w:hAnsi="Arial" w:cs="Arial"/>
            <w:i/>
            <w:iCs/>
            <w:color w:val="auto"/>
            <w:sz w:val="20"/>
            <w:szCs w:val="20"/>
            <w:lang w:eastAsia="ar-SA"/>
          </w:rPr>
          <w:t>htt</w:t>
        </w:r>
        <w:r>
          <w:rPr>
            <w:rStyle w:val="LinkdaInternet"/>
            <w:rFonts w:ascii="Arial" w:hAnsi="Arial" w:cs="Arial"/>
            <w:i/>
            <w:iCs/>
            <w:color w:val="auto"/>
            <w:sz w:val="20"/>
            <w:szCs w:val="20"/>
            <w:lang w:eastAsia="ar-SA"/>
          </w:rPr>
          <w:t>ps://www.portaltransparencia.gov.br/sancoes/cnep</w:t>
        </w:r>
      </w:hyperlink>
      <w:r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314CB645" w14:textId="77777777" w:rsidR="00234B3E" w:rsidRDefault="001C064D">
      <w:pPr>
        <w:pStyle w:val="Nivel2"/>
        <w:numPr>
          <w:ilvl w:val="1"/>
          <w:numId w:val="3"/>
        </w:numPr>
        <w:spacing w:before="0" w:after="0"/>
        <w:ind w:left="284" w:firstLine="0"/>
        <w:rPr>
          <w:sz w:val="20"/>
          <w:szCs w:val="20"/>
        </w:rPr>
      </w:pPr>
      <w:r>
        <w:rPr>
          <w:color w:val="auto"/>
          <w:sz w:val="20"/>
          <w:szCs w:val="20"/>
        </w:rPr>
        <w:lastRenderedPageBreak/>
        <w:t xml:space="preserve">A consulta aos cadastros será realizada em nome da empresa fornecedora e também de seu sócio majoritário, por força do artigo 12 da Lei n° 8.429, de 1992, que prevê, </w:t>
      </w:r>
      <w:r>
        <w:rPr>
          <w:color w:val="auto"/>
          <w:sz w:val="20"/>
          <w:szCs w:val="20"/>
        </w:rPr>
        <w:t>dentre as sanções impostas ao responsável pela prática de ato de improbidade administrativa, a proibição de contratar com o Poder Público, inclusive por intermédio de pessoa jurídica da qual seja sócio majoritário.</w:t>
      </w:r>
    </w:p>
    <w:p w14:paraId="66F93CC5" w14:textId="77777777" w:rsidR="00234B3E" w:rsidRDefault="001C064D">
      <w:pPr>
        <w:pStyle w:val="Nivel2"/>
        <w:numPr>
          <w:ilvl w:val="1"/>
          <w:numId w:val="3"/>
        </w:numPr>
        <w:spacing w:before="0" w:after="0"/>
        <w:ind w:left="284" w:firstLine="0"/>
        <w:rPr>
          <w:sz w:val="20"/>
          <w:szCs w:val="20"/>
        </w:rPr>
      </w:pPr>
      <w:r>
        <w:rPr>
          <w:color w:val="auto"/>
          <w:sz w:val="20"/>
          <w:szCs w:val="20"/>
        </w:rPr>
        <w:t>Caso conste na Consulta de Situação do Fo</w:t>
      </w:r>
      <w:r>
        <w:rPr>
          <w:color w:val="auto"/>
          <w:sz w:val="20"/>
          <w:szCs w:val="20"/>
        </w:rPr>
        <w:t>rnecedor a existência de Ocorrências Impeditivas Indiretas, o gestor diligenciará para verificar se houve fraude por parte das empresas apontadas no Relatório de Ocorrências Impeditivas Indiretas.</w:t>
      </w:r>
    </w:p>
    <w:p w14:paraId="029D4B41" w14:textId="77777777" w:rsidR="00234B3E" w:rsidRDefault="001C064D">
      <w:pPr>
        <w:pStyle w:val="Nivel2"/>
        <w:numPr>
          <w:ilvl w:val="1"/>
          <w:numId w:val="3"/>
        </w:numPr>
        <w:spacing w:before="0" w:after="0"/>
        <w:ind w:left="284" w:firstLine="0"/>
        <w:rPr>
          <w:sz w:val="20"/>
          <w:szCs w:val="20"/>
        </w:rPr>
      </w:pPr>
      <w:r>
        <w:rPr>
          <w:color w:val="auto"/>
          <w:sz w:val="20"/>
          <w:szCs w:val="20"/>
        </w:rPr>
        <w:t xml:space="preserve">A tentativa de burla será verificada por meio dos </w:t>
      </w:r>
      <w:r>
        <w:rPr>
          <w:color w:val="auto"/>
          <w:sz w:val="20"/>
          <w:szCs w:val="20"/>
        </w:rPr>
        <w:t>vínculos societários, linhas de fornecimento similares, dentre outros.</w:t>
      </w:r>
    </w:p>
    <w:p w14:paraId="675CAF7D" w14:textId="77777777" w:rsidR="00234B3E" w:rsidRDefault="001C064D">
      <w:pPr>
        <w:pStyle w:val="Nivel2"/>
        <w:numPr>
          <w:ilvl w:val="1"/>
          <w:numId w:val="3"/>
        </w:numPr>
        <w:spacing w:before="0" w:after="0"/>
        <w:ind w:left="284" w:firstLine="0"/>
        <w:rPr>
          <w:sz w:val="20"/>
          <w:szCs w:val="20"/>
        </w:rPr>
      </w:pPr>
      <w:r>
        <w:rPr>
          <w:color w:val="auto"/>
          <w:sz w:val="20"/>
          <w:szCs w:val="20"/>
        </w:rPr>
        <w:t>O fornecedor será convocado para manifestação previamente a uma eventual negativa de contratação.</w:t>
      </w:r>
    </w:p>
    <w:p w14:paraId="69C53510" w14:textId="77777777" w:rsidR="00234B3E" w:rsidRDefault="001C064D">
      <w:pPr>
        <w:pStyle w:val="Nivel2"/>
        <w:numPr>
          <w:ilvl w:val="1"/>
          <w:numId w:val="3"/>
        </w:numPr>
        <w:spacing w:before="0" w:after="0"/>
        <w:ind w:left="284" w:firstLine="0"/>
        <w:rPr>
          <w:sz w:val="20"/>
          <w:szCs w:val="20"/>
        </w:rPr>
      </w:pPr>
      <w:r>
        <w:rPr>
          <w:color w:val="auto"/>
          <w:sz w:val="20"/>
          <w:szCs w:val="20"/>
        </w:rPr>
        <w:t>Caso atendidas as condições para contratação, a habilitação do fornecedor será verifica</w:t>
      </w:r>
      <w:r>
        <w:rPr>
          <w:color w:val="auto"/>
          <w:sz w:val="20"/>
          <w:szCs w:val="20"/>
        </w:rPr>
        <w:t>da por meio do SICAF, nos documentos por ele abrangidos.</w:t>
      </w:r>
    </w:p>
    <w:p w14:paraId="4D9191CF" w14:textId="77777777" w:rsidR="00234B3E" w:rsidRDefault="001C064D">
      <w:pPr>
        <w:pStyle w:val="Nivel2"/>
        <w:numPr>
          <w:ilvl w:val="1"/>
          <w:numId w:val="3"/>
        </w:numPr>
        <w:spacing w:before="0" w:after="0"/>
        <w:ind w:left="284" w:firstLine="0"/>
        <w:rPr>
          <w:sz w:val="20"/>
          <w:szCs w:val="20"/>
        </w:rPr>
      </w:pPr>
      <w:r>
        <w:rPr>
          <w:color w:val="auto"/>
          <w:sz w:val="20"/>
          <w:szCs w:val="20"/>
        </w:rPr>
        <w:t>É dever do fornecedor manter atualizada a respectiva documentação constante do SICAF, ou encaminhar, quando solicitado pela Administração, a respectiva documentação atualizada.</w:t>
      </w:r>
    </w:p>
    <w:p w14:paraId="64939AB9" w14:textId="77777777" w:rsidR="00234B3E" w:rsidRDefault="001C064D">
      <w:pPr>
        <w:pStyle w:val="Nivel2"/>
        <w:numPr>
          <w:ilvl w:val="1"/>
          <w:numId w:val="3"/>
        </w:numPr>
        <w:spacing w:before="0" w:after="0"/>
        <w:ind w:left="284" w:firstLine="0"/>
        <w:rPr>
          <w:sz w:val="20"/>
          <w:szCs w:val="20"/>
        </w:rPr>
      </w:pPr>
      <w:r>
        <w:rPr>
          <w:color w:val="auto"/>
          <w:sz w:val="20"/>
          <w:szCs w:val="20"/>
        </w:rPr>
        <w:t>Não serão aceitos docu</w:t>
      </w:r>
      <w:r>
        <w:rPr>
          <w:color w:val="auto"/>
          <w:sz w:val="20"/>
          <w:szCs w:val="20"/>
        </w:rPr>
        <w:t>mentos de habilitação com indicação de CNPJ/CPF diferentes, salvo aqueles legalmente permitidos.</w:t>
      </w:r>
    </w:p>
    <w:p w14:paraId="0DA393F6" w14:textId="77777777" w:rsidR="00234B3E" w:rsidRDefault="001C064D">
      <w:pPr>
        <w:pStyle w:val="Nivel2"/>
        <w:numPr>
          <w:ilvl w:val="1"/>
          <w:numId w:val="3"/>
        </w:numPr>
        <w:spacing w:before="0" w:after="0"/>
        <w:ind w:left="284" w:firstLine="0"/>
        <w:rPr>
          <w:sz w:val="20"/>
          <w:szCs w:val="20"/>
        </w:rPr>
      </w:pPr>
      <w:r>
        <w:rPr>
          <w:color w:val="auto"/>
          <w:sz w:val="20"/>
          <w:szCs w:val="20"/>
        </w:rPr>
        <w:t>Se o fornecedor for a matriz, todos os documentos deverão estar em nome da matriz, e se o fornecedor for a filial, todos os documentos deverão estar em nome da</w:t>
      </w:r>
      <w:r>
        <w:rPr>
          <w:color w:val="auto"/>
          <w:sz w:val="20"/>
          <w:szCs w:val="20"/>
        </w:rPr>
        <w:t xml:space="preserve"> filial, exceto para atestados de capacidade técnica, caso exigidos, e no caso daqueles documentos que, pela própria natureza, comprovadamente, forem emitidos somente em nome da matriz.</w:t>
      </w:r>
    </w:p>
    <w:p w14:paraId="576FF54B" w14:textId="77777777" w:rsidR="00234B3E" w:rsidRDefault="001C064D">
      <w:pPr>
        <w:pStyle w:val="Nivel2"/>
        <w:numPr>
          <w:ilvl w:val="1"/>
          <w:numId w:val="3"/>
        </w:numPr>
        <w:spacing w:before="0" w:after="0"/>
        <w:ind w:left="284" w:firstLine="0"/>
        <w:rPr>
          <w:sz w:val="20"/>
          <w:szCs w:val="20"/>
        </w:rPr>
      </w:pPr>
      <w:r>
        <w:rPr>
          <w:color w:val="auto"/>
          <w:sz w:val="20"/>
          <w:szCs w:val="20"/>
        </w:rPr>
        <w:t>Serão aceitos registros de CNPJ de fornecedor matriz e filial com dife</w:t>
      </w:r>
      <w:r>
        <w:rPr>
          <w:color w:val="auto"/>
          <w:sz w:val="20"/>
          <w:szCs w:val="20"/>
        </w:rPr>
        <w:t>renças de números de documentos pertinentes ao CND e ao CRF/FGTS, quando for comprovada a centralização do recolhimento dessas contribuições.</w:t>
      </w:r>
    </w:p>
    <w:p w14:paraId="7D222F89" w14:textId="77777777" w:rsidR="00234B3E" w:rsidRDefault="001C064D">
      <w:pPr>
        <w:pStyle w:val="Nivel2"/>
        <w:numPr>
          <w:ilvl w:val="1"/>
          <w:numId w:val="3"/>
        </w:numPr>
        <w:spacing w:before="0" w:after="0"/>
        <w:ind w:left="284" w:firstLine="0"/>
        <w:rPr>
          <w:sz w:val="20"/>
          <w:szCs w:val="20"/>
        </w:rPr>
      </w:pPr>
      <w:r>
        <w:rPr>
          <w:color w:val="auto"/>
          <w:sz w:val="20"/>
          <w:szCs w:val="20"/>
        </w:rPr>
        <w:t>Para fins de contratação, deverá o fornecedor comprovar os seguintes requisitos de habilitação:</w:t>
      </w:r>
    </w:p>
    <w:p w14:paraId="23868D30" w14:textId="77777777" w:rsidR="00234B3E" w:rsidRDefault="001C064D">
      <w:pPr>
        <w:numPr>
          <w:ilvl w:val="1"/>
          <w:numId w:val="3"/>
        </w:numPr>
        <w:spacing w:before="120" w:after="120" w:line="276" w:lineRule="auto"/>
        <w:ind w:left="425" w:firstLine="0"/>
        <w:jc w:val="both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Habilitação Jurídi</w:t>
      </w:r>
      <w:r>
        <w:rPr>
          <w:rFonts w:ascii="Arial" w:hAnsi="Arial" w:cs="Arial"/>
          <w:b/>
          <w:sz w:val="20"/>
          <w:szCs w:val="20"/>
        </w:rPr>
        <w:t>ca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7BE32BFF" w14:textId="77777777" w:rsidR="00234B3E" w:rsidRDefault="001C064D" w:rsidP="001C064D">
      <w:pPr>
        <w:numPr>
          <w:ilvl w:val="2"/>
          <w:numId w:val="38"/>
        </w:numPr>
        <w:spacing w:before="120" w:after="120" w:line="276" w:lineRule="auto"/>
        <w:jc w:val="both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Empresário individual</w:t>
      </w:r>
      <w:r>
        <w:rPr>
          <w:rFonts w:ascii="Arial" w:hAnsi="Arial" w:cs="Arial"/>
          <w:sz w:val="20"/>
          <w:szCs w:val="20"/>
        </w:rPr>
        <w:t xml:space="preserve">: inscrição no Registro Público de Empresas Mercantis, a cargo da Junta Comercial da respectiva sede; </w:t>
      </w:r>
    </w:p>
    <w:p w14:paraId="551BD35E" w14:textId="77777777" w:rsidR="00234B3E" w:rsidRDefault="001C064D">
      <w:pPr>
        <w:spacing w:before="120" w:after="120" w:line="276" w:lineRule="auto"/>
        <w:ind w:left="93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</w:t>
      </w:r>
    </w:p>
    <w:p w14:paraId="27888F32" w14:textId="77777777" w:rsidR="00234B3E" w:rsidRDefault="001C064D" w:rsidP="001C064D">
      <w:pPr>
        <w:numPr>
          <w:ilvl w:val="2"/>
          <w:numId w:val="39"/>
        </w:numPr>
        <w:spacing w:before="120" w:after="120" w:line="276" w:lineRule="auto"/>
        <w:jc w:val="both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Sociedade empresária, sociedade limitada unipessoal – SLU ou sociedade identificada como empresa individual de responsabilid</w:t>
      </w:r>
      <w:r>
        <w:rPr>
          <w:rFonts w:ascii="Arial" w:hAnsi="Arial" w:cs="Arial"/>
          <w:b/>
          <w:sz w:val="20"/>
          <w:szCs w:val="20"/>
        </w:rPr>
        <w:t>ade limitada - EIRELI</w:t>
      </w:r>
      <w:r>
        <w:rPr>
          <w:rFonts w:ascii="Arial" w:hAnsi="Arial" w:cs="Arial"/>
          <w:sz w:val="20"/>
          <w:szCs w:val="20"/>
        </w:rPr>
        <w:t>: inscrição do ato constitutivo, estatuto ou contrato social no Registro Público de Empresas Mercantis, a cargo da Junta Comercial da respectiva sede, acompanhada de documento comprobatório de seus administradores;</w:t>
      </w:r>
    </w:p>
    <w:p w14:paraId="3CEA4708" w14:textId="77777777" w:rsidR="00234B3E" w:rsidRDefault="001C064D">
      <w:pPr>
        <w:numPr>
          <w:ilvl w:val="1"/>
          <w:numId w:val="3"/>
        </w:numPr>
        <w:spacing w:before="120" w:after="120" w:line="276" w:lineRule="auto"/>
        <w:ind w:left="425" w:firstLine="0"/>
        <w:jc w:val="both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Habilitações fiscal,</w:t>
      </w:r>
      <w:r>
        <w:rPr>
          <w:rFonts w:ascii="Arial" w:hAnsi="Arial" w:cs="Arial"/>
          <w:b/>
          <w:sz w:val="20"/>
          <w:szCs w:val="20"/>
        </w:rPr>
        <w:t xml:space="preserve"> social e trabalhista:</w:t>
      </w:r>
    </w:p>
    <w:p w14:paraId="02B3DDE5" w14:textId="77777777" w:rsidR="00234B3E" w:rsidRDefault="001C064D" w:rsidP="001C064D">
      <w:pPr>
        <w:numPr>
          <w:ilvl w:val="2"/>
          <w:numId w:val="40"/>
        </w:numPr>
        <w:spacing w:before="120" w:after="120" w:line="276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prova de inscrição no Cadastro Nacional da Pessoa Jurídica (CNPJ);</w:t>
      </w:r>
    </w:p>
    <w:p w14:paraId="49544174" w14:textId="77777777" w:rsidR="00234B3E" w:rsidRDefault="001C064D" w:rsidP="001C064D">
      <w:pPr>
        <w:numPr>
          <w:ilvl w:val="2"/>
          <w:numId w:val="41"/>
        </w:numPr>
        <w:spacing w:before="120" w:after="120" w:line="276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prova de regularidade fiscal perante a Fazenda Nacional, mediante apresentação de certidão expedida conjuntamente pela Secretaria da Receita Federal do Brasil </w:t>
      </w:r>
      <w:r>
        <w:rPr>
          <w:rFonts w:ascii="Arial" w:hAnsi="Arial" w:cs="Arial"/>
          <w:sz w:val="20"/>
          <w:szCs w:val="20"/>
        </w:rPr>
        <w:t>(RFB) e pela Procuradoria-Geral da Fazenda Nacional (PGFN), referente a todos os créditos tributários federais e à Dívida Ativa da União (DAU) por elas administrados, inclusive aqueles relativos à Seguridade Social, nos termos da Portaria Conjunta nº 1.751</w:t>
      </w:r>
      <w:r>
        <w:rPr>
          <w:rFonts w:ascii="Arial" w:hAnsi="Arial" w:cs="Arial"/>
          <w:sz w:val="20"/>
          <w:szCs w:val="20"/>
        </w:rPr>
        <w:t>, de 02/10/2014, do Secretário da Receita Federal do Brasil e da Procuradora-Geral da Fazenda Nacional.</w:t>
      </w:r>
    </w:p>
    <w:p w14:paraId="405FDFE0" w14:textId="77777777" w:rsidR="00234B3E" w:rsidRDefault="001C064D" w:rsidP="001C064D">
      <w:pPr>
        <w:numPr>
          <w:ilvl w:val="2"/>
          <w:numId w:val="42"/>
        </w:numPr>
        <w:spacing w:before="120" w:after="120" w:line="276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prova de regularidade com o Fundo de Garantia do Tempo de Serviço (FGTS);</w:t>
      </w:r>
    </w:p>
    <w:p w14:paraId="391C71F6" w14:textId="77777777" w:rsidR="00234B3E" w:rsidRDefault="001C064D" w:rsidP="001C064D">
      <w:pPr>
        <w:numPr>
          <w:ilvl w:val="2"/>
          <w:numId w:val="43"/>
        </w:numPr>
        <w:spacing w:before="120" w:after="120" w:line="276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declaração de que não emprega menor de 18 anos em trabalho noturno, perigoso o</w:t>
      </w:r>
      <w:r>
        <w:rPr>
          <w:rFonts w:ascii="Arial" w:hAnsi="Arial" w:cs="Arial"/>
          <w:sz w:val="20"/>
          <w:szCs w:val="20"/>
        </w:rPr>
        <w:t>u insalubre e não emprega menor de 16 anos, salvo menor, a partir de 14 anos, na condição de aprendiz, nos termos do artigo 7°, XXXIII, da Constituição;</w:t>
      </w:r>
    </w:p>
    <w:p w14:paraId="134CBF30" w14:textId="77777777" w:rsidR="00234B3E" w:rsidRDefault="001C064D" w:rsidP="001C064D">
      <w:pPr>
        <w:numPr>
          <w:ilvl w:val="2"/>
          <w:numId w:val="44"/>
        </w:numPr>
        <w:spacing w:before="120" w:after="120" w:line="276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prova de inexistência de débitos inadimplidos perante a Justiça do Trabalho, mediante a apresentação de</w:t>
      </w:r>
      <w:r>
        <w:rPr>
          <w:rFonts w:ascii="Arial" w:hAnsi="Arial" w:cs="Arial"/>
          <w:sz w:val="20"/>
          <w:szCs w:val="20"/>
        </w:rPr>
        <w:t xml:space="preserve"> certidão negativa ou positiva com efeito de negativa, nos termos do Título VII-A da Consolidação das Leis do Trabalho, aprovada pelo Decreto-Lei nº 5.452, de 1º de maio de 1943.</w:t>
      </w:r>
    </w:p>
    <w:p w14:paraId="024F5F98" w14:textId="77777777" w:rsidR="00234B3E" w:rsidRDefault="001C064D" w:rsidP="001C064D">
      <w:pPr>
        <w:numPr>
          <w:ilvl w:val="2"/>
          <w:numId w:val="45"/>
        </w:numPr>
        <w:spacing w:before="120" w:after="120" w:line="276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prova de inscrição no cadastro de contribuintes estadual, se houver, relativo</w:t>
      </w:r>
      <w:r>
        <w:rPr>
          <w:rFonts w:ascii="Arial" w:hAnsi="Arial" w:cs="Arial"/>
          <w:sz w:val="20"/>
          <w:szCs w:val="20"/>
        </w:rPr>
        <w:t xml:space="preserve"> ao domicílio ou sede do fornecedor, pertinente ao seu ramo de atividade e compatível com o objeto contratual; </w:t>
      </w:r>
    </w:p>
    <w:p w14:paraId="3A1304D0" w14:textId="77777777" w:rsidR="00234B3E" w:rsidRDefault="001C064D" w:rsidP="001C064D">
      <w:pPr>
        <w:numPr>
          <w:ilvl w:val="3"/>
          <w:numId w:val="46"/>
        </w:numPr>
        <w:spacing w:before="120" w:after="120" w:line="276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fornecedor enquadrado como microempreendedor individual que pretenda auferir os benefícios do tratamento diferenciado previstos na Lei Complem</w:t>
      </w:r>
      <w:r>
        <w:rPr>
          <w:rFonts w:ascii="Arial" w:hAnsi="Arial" w:cs="Arial"/>
          <w:sz w:val="20"/>
          <w:szCs w:val="20"/>
        </w:rPr>
        <w:t>entar n. 123, de 2006, estará dispensado da prova de inscrição nos cadastros de contribuintes estadual e municipal.</w:t>
      </w:r>
    </w:p>
    <w:p w14:paraId="06AC7B0E" w14:textId="77777777" w:rsidR="00234B3E" w:rsidRDefault="001C064D" w:rsidP="001C064D">
      <w:pPr>
        <w:numPr>
          <w:ilvl w:val="2"/>
          <w:numId w:val="47"/>
        </w:numPr>
        <w:spacing w:before="120" w:after="120" w:line="276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prova de regularidade com a Fazenda Estadual ou Distrital do domicílio ou sede do fornecedor, relativa à atividade em cujo exercício contrat</w:t>
      </w:r>
      <w:r>
        <w:rPr>
          <w:rFonts w:ascii="Arial" w:hAnsi="Arial" w:cs="Arial"/>
          <w:sz w:val="20"/>
          <w:szCs w:val="20"/>
        </w:rPr>
        <w:t xml:space="preserve">a ou concorre; </w:t>
      </w:r>
    </w:p>
    <w:p w14:paraId="21F98A40" w14:textId="77777777" w:rsidR="00234B3E" w:rsidRDefault="001C064D" w:rsidP="001C064D">
      <w:pPr>
        <w:numPr>
          <w:ilvl w:val="3"/>
          <w:numId w:val="48"/>
        </w:numPr>
        <w:spacing w:before="120" w:after="120" w:line="276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caso o fornecedor seja considerado isento dos tributos estaduais ou distritais relacionados ao objeto, deverá comprovar tal condição mediante a apresentação de certidão ou declaração da Fazenda respectiva do seu domicílio ou sede, ou por me</w:t>
      </w:r>
      <w:r>
        <w:rPr>
          <w:rFonts w:ascii="Arial" w:hAnsi="Arial" w:cs="Arial"/>
          <w:sz w:val="20"/>
          <w:szCs w:val="20"/>
        </w:rPr>
        <w:t>io de outro documento equivalente, na forma da respectiva legislação de regência.</w:t>
      </w:r>
    </w:p>
    <w:p w14:paraId="7D397BA2" w14:textId="5253F09F" w:rsidR="00234B3E" w:rsidRDefault="001C064D">
      <w:pPr>
        <w:spacing w:before="120" w:after="120" w:line="276" w:lineRule="auto"/>
        <w:ind w:left="2491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Rio de </w:t>
      </w:r>
      <w:r>
        <w:rPr>
          <w:rFonts w:ascii="Arial" w:eastAsia="Calibri" w:hAnsi="Arial" w:cs="Arial"/>
          <w:sz w:val="20"/>
          <w:szCs w:val="20"/>
        </w:rPr>
        <w:t>Janeiro</w:t>
      </w:r>
      <w:r>
        <w:rPr>
          <w:rFonts w:ascii="Arial" w:hAnsi="Arial" w:cs="Arial"/>
          <w:sz w:val="20"/>
          <w:szCs w:val="20"/>
        </w:rPr>
        <w:t xml:space="preserve">, 27 </w:t>
      </w:r>
      <w:r>
        <w:rPr>
          <w:rFonts w:ascii="Arial" w:eastAsia="Calibri" w:hAnsi="Arial" w:cs="Arial"/>
          <w:sz w:val="20"/>
          <w:szCs w:val="20"/>
        </w:rPr>
        <w:t>de fevereiro</w:t>
      </w:r>
      <w:r>
        <w:rPr>
          <w:rFonts w:ascii="Arial" w:hAnsi="Arial" w:cs="Arial"/>
          <w:sz w:val="20"/>
          <w:szCs w:val="20"/>
        </w:rPr>
        <w:t xml:space="preserve"> de</w:t>
      </w:r>
      <w:r>
        <w:rPr>
          <w:rFonts w:ascii="Arial" w:hAnsi="Arial" w:cs="Arial"/>
          <w:sz w:val="20"/>
          <w:szCs w:val="20"/>
        </w:rPr>
        <w:t xml:space="preserve"> 2023</w:t>
      </w:r>
    </w:p>
    <w:p w14:paraId="2148F382" w14:textId="77777777" w:rsidR="00234B3E" w:rsidRDefault="001C064D">
      <w:pPr>
        <w:spacing w:after="360"/>
        <w:ind w:left="360"/>
        <w:rPr>
          <w:rFonts w:cs="Arial"/>
          <w:szCs w:val="20"/>
        </w:rPr>
      </w:pPr>
      <w:r>
        <w:rPr>
          <w:rFonts w:cs="Arial"/>
          <w:szCs w:val="20"/>
        </w:rPr>
        <w:t xml:space="preserve">                                             __________________________________</w:t>
      </w:r>
    </w:p>
    <w:p w14:paraId="06B28D3C" w14:textId="77777777" w:rsidR="00234B3E" w:rsidRDefault="001C064D">
      <w:pPr>
        <w:pStyle w:val="western"/>
        <w:spacing w:before="0" w:after="0"/>
        <w:jc w:val="center"/>
      </w:pPr>
      <w:r>
        <w:rPr>
          <w:rFonts w:eastAsia="Times New Roman" w:cs="Arial"/>
          <w:sz w:val="22"/>
          <w:szCs w:val="22"/>
          <w:lang w:eastAsia="pt-BR"/>
        </w:rPr>
        <w:t xml:space="preserve">Vanderson dos Santos Oliveira  –  1° TEN </w:t>
      </w:r>
    </w:p>
    <w:p w14:paraId="0AE0E375" w14:textId="77777777" w:rsidR="00234B3E" w:rsidRDefault="001C064D">
      <w:pPr>
        <w:pStyle w:val="western"/>
        <w:spacing w:before="0" w:after="0"/>
        <w:jc w:val="center"/>
      </w:pPr>
      <w:r>
        <w:rPr>
          <w:rFonts w:eastAsia="Times New Roman" w:cs="Arial"/>
          <w:iCs/>
          <w:color w:val="000000"/>
          <w:sz w:val="22"/>
          <w:szCs w:val="22"/>
          <w:lang w:eastAsia="pt-BR"/>
        </w:rPr>
        <w:t>Chefe da PMG</w:t>
      </w:r>
    </w:p>
    <w:sectPr w:rsidR="00234B3E">
      <w:footerReference w:type="default" r:id="rId14"/>
      <w:pgSz w:w="11906" w:h="16838"/>
      <w:pgMar w:top="1701" w:right="1140" w:bottom="1134" w:left="1004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B09AA" w14:textId="77777777" w:rsidR="00000000" w:rsidRDefault="001C064D">
      <w:pPr>
        <w:spacing w:after="0" w:line="240" w:lineRule="auto"/>
      </w:pPr>
      <w:r>
        <w:separator/>
      </w:r>
    </w:p>
  </w:endnote>
  <w:endnote w:type="continuationSeparator" w:id="0">
    <w:p w14:paraId="28D5C8A4" w14:textId="77777777" w:rsidR="00000000" w:rsidRDefault="001C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mbria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Open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82581" w14:textId="77777777" w:rsidR="00234B3E" w:rsidRDefault="001C064D">
    <w:pPr>
      <w:pStyle w:val="Rodap"/>
      <w:rPr>
        <w:sz w:val="12"/>
        <w:szCs w:val="12"/>
      </w:rPr>
    </w:pPr>
    <w:r>
      <w:rPr>
        <w:sz w:val="12"/>
        <w:szCs w:val="12"/>
      </w:rPr>
      <w:t>Termo de Referência – Compras – Lei nº 14.133/21 – Contratação Direta</w:t>
    </w:r>
  </w:p>
  <w:p w14:paraId="7F13834D" w14:textId="77777777" w:rsidR="00234B3E" w:rsidRDefault="001C064D">
    <w:pPr>
      <w:pStyle w:val="Rodap"/>
    </w:pPr>
    <w:r>
      <w:rPr>
        <w:sz w:val="12"/>
        <w:szCs w:val="12"/>
      </w:rPr>
      <w:t>Atualização: Junho/2022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9FCAA" w14:textId="77777777" w:rsidR="00000000" w:rsidRDefault="001C064D">
      <w:pPr>
        <w:spacing w:after="0" w:line="240" w:lineRule="auto"/>
      </w:pPr>
      <w:r>
        <w:separator/>
      </w:r>
    </w:p>
  </w:footnote>
  <w:footnote w:type="continuationSeparator" w:id="0">
    <w:p w14:paraId="3D674B41" w14:textId="77777777" w:rsidR="00000000" w:rsidRDefault="001C06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F23B3"/>
    <w:multiLevelType w:val="multilevel"/>
    <w:tmpl w:val="6B8EC8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AEF54EF"/>
    <w:multiLevelType w:val="multilevel"/>
    <w:tmpl w:val="3438D9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5BF933BE"/>
    <w:multiLevelType w:val="multilevel"/>
    <w:tmpl w:val="77E286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57911219">
    <w:abstractNumId w:val="2"/>
  </w:num>
  <w:num w:numId="2" w16cid:durableId="238951458">
    <w:abstractNumId w:val="0"/>
  </w:num>
  <w:num w:numId="3" w16cid:durableId="840971550">
    <w:abstractNumId w:val="1"/>
  </w:num>
  <w:num w:numId="4" w16cid:durableId="1675376929">
    <w:abstractNumId w:val="1"/>
    <w:lvlOverride w:ilvl="0"/>
  </w:num>
  <w:num w:numId="5" w16cid:durableId="1914468002">
    <w:abstractNumId w:val="1"/>
  </w:num>
  <w:num w:numId="6" w16cid:durableId="1748764663">
    <w:abstractNumId w:val="1"/>
    <w:lvlOverride w:ilvl="0"/>
  </w:num>
  <w:num w:numId="7" w16cid:durableId="1286159666">
    <w:abstractNumId w:val="1"/>
    <w:lvlOverride w:ilvl="0"/>
  </w:num>
  <w:num w:numId="8" w16cid:durableId="1199973357">
    <w:abstractNumId w:val="1"/>
    <w:lvlOverride w:ilvl="0"/>
  </w:num>
  <w:num w:numId="9" w16cid:durableId="544607320">
    <w:abstractNumId w:val="1"/>
    <w:lvlOverride w:ilvl="0"/>
  </w:num>
  <w:num w:numId="10" w16cid:durableId="1263298522">
    <w:abstractNumId w:val="1"/>
  </w:num>
  <w:num w:numId="11" w16cid:durableId="599140063">
    <w:abstractNumId w:val="1"/>
  </w:num>
  <w:num w:numId="12" w16cid:durableId="943342530">
    <w:abstractNumId w:val="1"/>
    <w:lvlOverride w:ilvl="0"/>
  </w:num>
  <w:num w:numId="13" w16cid:durableId="2004116726">
    <w:abstractNumId w:val="1"/>
  </w:num>
  <w:num w:numId="14" w16cid:durableId="1549148581">
    <w:abstractNumId w:val="1"/>
  </w:num>
  <w:num w:numId="15" w16cid:durableId="1600286637">
    <w:abstractNumId w:val="1"/>
  </w:num>
  <w:num w:numId="16" w16cid:durableId="764152203">
    <w:abstractNumId w:val="1"/>
  </w:num>
  <w:num w:numId="17" w16cid:durableId="708799711">
    <w:abstractNumId w:val="1"/>
  </w:num>
  <w:num w:numId="18" w16cid:durableId="1365211020">
    <w:abstractNumId w:val="1"/>
  </w:num>
  <w:num w:numId="19" w16cid:durableId="379136031">
    <w:abstractNumId w:val="1"/>
  </w:num>
  <w:num w:numId="20" w16cid:durableId="870842449">
    <w:abstractNumId w:val="1"/>
  </w:num>
  <w:num w:numId="21" w16cid:durableId="292713737">
    <w:abstractNumId w:val="1"/>
  </w:num>
  <w:num w:numId="22" w16cid:durableId="1446005079">
    <w:abstractNumId w:val="1"/>
  </w:num>
  <w:num w:numId="23" w16cid:durableId="1372731706">
    <w:abstractNumId w:val="1"/>
    <w:lvlOverride w:ilvl="0"/>
  </w:num>
  <w:num w:numId="24" w16cid:durableId="882786293">
    <w:abstractNumId w:val="1"/>
  </w:num>
  <w:num w:numId="25" w16cid:durableId="859008799">
    <w:abstractNumId w:val="1"/>
  </w:num>
  <w:num w:numId="26" w16cid:durableId="113326679">
    <w:abstractNumId w:val="1"/>
  </w:num>
  <w:num w:numId="27" w16cid:durableId="803355194">
    <w:abstractNumId w:val="1"/>
  </w:num>
  <w:num w:numId="28" w16cid:durableId="38214472">
    <w:abstractNumId w:val="1"/>
  </w:num>
  <w:num w:numId="29" w16cid:durableId="1677684662">
    <w:abstractNumId w:val="1"/>
  </w:num>
  <w:num w:numId="30" w16cid:durableId="1635981176">
    <w:abstractNumId w:val="1"/>
  </w:num>
  <w:num w:numId="31" w16cid:durableId="1539925430">
    <w:abstractNumId w:val="1"/>
  </w:num>
  <w:num w:numId="32" w16cid:durableId="1327825094">
    <w:abstractNumId w:val="1"/>
  </w:num>
  <w:num w:numId="33" w16cid:durableId="1700357416">
    <w:abstractNumId w:val="1"/>
  </w:num>
  <w:num w:numId="34" w16cid:durableId="1210265825">
    <w:abstractNumId w:val="1"/>
  </w:num>
  <w:num w:numId="35" w16cid:durableId="2050181112">
    <w:abstractNumId w:val="1"/>
  </w:num>
  <w:num w:numId="36" w16cid:durableId="1016273401">
    <w:abstractNumId w:val="1"/>
    <w:lvlOverride w:ilvl="0"/>
  </w:num>
  <w:num w:numId="37" w16cid:durableId="1526140360">
    <w:abstractNumId w:val="1"/>
    <w:lvlOverride w:ilvl="0">
      <w:startOverride w:val="1"/>
    </w:lvlOverride>
  </w:num>
  <w:num w:numId="38" w16cid:durableId="1650020095">
    <w:abstractNumId w:val="1"/>
    <w:lvlOverride w:ilvl="0"/>
  </w:num>
  <w:num w:numId="39" w16cid:durableId="1321423431">
    <w:abstractNumId w:val="1"/>
    <w:lvlOverride w:ilvl="0"/>
  </w:num>
  <w:num w:numId="40" w16cid:durableId="620190964">
    <w:abstractNumId w:val="1"/>
    <w:lvlOverride w:ilvl="0"/>
  </w:num>
  <w:num w:numId="41" w16cid:durableId="1728795224">
    <w:abstractNumId w:val="1"/>
  </w:num>
  <w:num w:numId="42" w16cid:durableId="526715814">
    <w:abstractNumId w:val="1"/>
  </w:num>
  <w:num w:numId="43" w16cid:durableId="322010267">
    <w:abstractNumId w:val="1"/>
  </w:num>
  <w:num w:numId="44" w16cid:durableId="2079548026">
    <w:abstractNumId w:val="1"/>
  </w:num>
  <w:num w:numId="45" w16cid:durableId="545602056">
    <w:abstractNumId w:val="1"/>
  </w:num>
  <w:num w:numId="46" w16cid:durableId="1240213015">
    <w:abstractNumId w:val="1"/>
  </w:num>
  <w:num w:numId="47" w16cid:durableId="519929216">
    <w:abstractNumId w:val="1"/>
  </w:num>
  <w:num w:numId="48" w16cid:durableId="1809856827">
    <w:abstractNumId w:val="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B3E"/>
    <w:rsid w:val="001C064D"/>
    <w:rsid w:val="0023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2ADB3"/>
  <w15:docId w15:val="{442E98A7-AD3F-4518-A03F-9D72AAB92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1E3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FE71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LO-Normal"/>
    <w:next w:val="LO-Normal"/>
    <w:qFormat/>
    <w:pPr>
      <w:keepNext/>
      <w:keepLines/>
      <w:numPr>
        <w:ilvl w:val="1"/>
        <w:numId w:val="1"/>
      </w:numPr>
      <w:spacing w:before="40"/>
      <w:outlineLvl w:val="1"/>
    </w:pPr>
    <w:rPr>
      <w:rFonts w:ascii="Calibri Light" w:hAnsi="Calibri Light"/>
      <w:color w:val="2F5496"/>
      <w:sz w:val="26"/>
      <w:szCs w:val="26"/>
    </w:rPr>
  </w:style>
  <w:style w:type="paragraph" w:styleId="Ttulo4">
    <w:name w:val="heading 4"/>
    <w:basedOn w:val="LO-Normal"/>
    <w:next w:val="LO-Normal"/>
    <w:qFormat/>
    <w:pPr>
      <w:keepNext/>
      <w:keepLines/>
      <w:numPr>
        <w:ilvl w:val="3"/>
        <w:numId w:val="1"/>
      </w:numPr>
      <w:spacing w:before="40"/>
      <w:outlineLvl w:val="3"/>
    </w:pPr>
    <w:rPr>
      <w:rFonts w:ascii="Calibri Light" w:hAnsi="Calibri Light"/>
      <w:i/>
      <w:iCs/>
      <w:color w:val="2F5496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E1FE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unhideWhenUsed/>
    <w:rsid w:val="00FE71E3"/>
    <w:rPr>
      <w:color w:val="000080"/>
      <w:u w:val="single"/>
    </w:rPr>
  </w:style>
  <w:style w:type="character" w:customStyle="1" w:styleId="CitaoChar">
    <w:name w:val="Citação Char"/>
    <w:basedOn w:val="Fontepargpadro"/>
    <w:link w:val="Citao"/>
    <w:qFormat/>
    <w:rsid w:val="00FE71E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FE71E3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Ttulo1Char">
    <w:name w:val="Título 1 Char"/>
    <w:basedOn w:val="Fontepargpadro"/>
    <w:link w:val="Ttulo1"/>
    <w:uiPriority w:val="9"/>
    <w:qFormat/>
    <w:rsid w:val="00FE71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char1">
    <w:name w:val="normal__char1"/>
    <w:qFormat/>
    <w:rsid w:val="00A45C14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styleId="Forte">
    <w:name w:val="Strong"/>
    <w:basedOn w:val="Fontepargpadro"/>
    <w:uiPriority w:val="22"/>
    <w:qFormat/>
    <w:rsid w:val="0042560B"/>
    <w:rPr>
      <w:b/>
      <w:bCs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C81183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unhideWhenUsed/>
    <w:qFormat/>
    <w:rsid w:val="00843661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843661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843661"/>
    <w:rPr>
      <w:b/>
      <w:bCs/>
      <w:sz w:val="20"/>
      <w:szCs w:val="20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8E1FE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206410"/>
    <w:rPr>
      <w:color w:val="954F72" w:themeColor="followedHyperlink"/>
      <w:u w:val="single"/>
    </w:rPr>
  </w:style>
  <w:style w:type="character" w:customStyle="1" w:styleId="QuoteChar">
    <w:name w:val="Quote Char"/>
    <w:link w:val="Citao1"/>
    <w:qFormat/>
    <w:locked/>
    <w:rsid w:val="003948B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</w:rPr>
  </w:style>
  <w:style w:type="character" w:customStyle="1" w:styleId="markedcontent">
    <w:name w:val="markedcontent"/>
    <w:basedOn w:val="Fontepargpadro"/>
    <w:qFormat/>
    <w:rsid w:val="00BD4CAF"/>
  </w:style>
  <w:style w:type="character" w:customStyle="1" w:styleId="highlight">
    <w:name w:val="highlight"/>
    <w:basedOn w:val="Fontepargpadro"/>
    <w:qFormat/>
    <w:rsid w:val="00BD4CAF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81162"/>
    <w:rPr>
      <w:rFonts w:ascii="Segoe UI" w:hAnsi="Segoe UI" w:cs="Segoe UI"/>
      <w:sz w:val="18"/>
      <w:szCs w:val="18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307E84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FF4094"/>
    <w:rPr>
      <w:rFonts w:ascii="Arial" w:hAnsi="Arial" w:cs="Arial"/>
      <w:color w:val="000000"/>
    </w:rPr>
  </w:style>
  <w:style w:type="character" w:customStyle="1" w:styleId="citao2Char">
    <w:name w:val="citação 2 Char"/>
    <w:basedOn w:val="CitaoChar"/>
    <w:qFormat/>
    <w:rsid w:val="003E7046"/>
    <w:rPr>
      <w:rFonts w:ascii="Arial" w:eastAsia="Calibri" w:hAnsi="Arial" w:cs="Tahoma"/>
      <w:i/>
      <w:iCs/>
      <w:color w:val="000000"/>
      <w:kern w:val="2"/>
      <w:sz w:val="20"/>
      <w:szCs w:val="20"/>
      <w:shd w:val="clear" w:color="auto" w:fill="FFFFCC"/>
      <w:lang w:eastAsia="zh-CN" w:bidi="hi-IN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73140B"/>
  </w:style>
  <w:style w:type="character" w:customStyle="1" w:styleId="RodapChar">
    <w:name w:val="Rodapé Char"/>
    <w:basedOn w:val="Fontepargpadro"/>
    <w:link w:val="Rodap"/>
    <w:uiPriority w:val="99"/>
    <w:qFormat/>
    <w:rsid w:val="0073140B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F57D61"/>
    <w:rPr>
      <w:color w:val="605E5C"/>
      <w:shd w:val="clear" w:color="auto" w:fill="E1DFDD"/>
    </w:rPr>
  </w:style>
  <w:style w:type="character" w:customStyle="1" w:styleId="nfaseforte">
    <w:name w:val="Ênfase forte"/>
    <w:qFormat/>
    <w:rPr>
      <w:b/>
      <w:b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Citao">
    <w:name w:val="Quote"/>
    <w:basedOn w:val="Normal"/>
    <w:next w:val="Normal"/>
    <w:link w:val="CitaoChar"/>
    <w:qFormat/>
    <w:rsid w:val="00FE71E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FE71E3"/>
    <w:pPr>
      <w:spacing w:before="480" w:after="120" w:line="276" w:lineRule="auto"/>
      <w:jc w:val="both"/>
    </w:pPr>
    <w:rPr>
      <w:rFonts w:ascii="Arial" w:hAnsi="Arial" w:cs="Arial"/>
      <w:b/>
      <w:color w:val="000000"/>
    </w:rPr>
  </w:style>
  <w:style w:type="paragraph" w:styleId="PargrafodaLista">
    <w:name w:val="List Paragraph"/>
    <w:basedOn w:val="Normal"/>
    <w:uiPriority w:val="34"/>
    <w:qFormat/>
    <w:rsid w:val="00FE71E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FE71E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qFormat/>
    <w:rsid w:val="00A45C1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 w:line="240" w:lineRule="auto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qFormat/>
    <w:rsid w:val="00BB36B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843661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843661"/>
    <w:rPr>
      <w:b/>
      <w:bCs/>
    </w:rPr>
  </w:style>
  <w:style w:type="paragraph" w:customStyle="1" w:styleId="itemnivel2">
    <w:name w:val="item_nivel2"/>
    <w:basedOn w:val="Normal"/>
    <w:qFormat/>
    <w:rsid w:val="00400A9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qFormat/>
    <w:rsid w:val="00400A9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qFormat/>
    <w:rsid w:val="00400A9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itao1">
    <w:name w:val="Citação1"/>
    <w:basedOn w:val="Normal"/>
    <w:next w:val="Normal"/>
    <w:link w:val="QuoteChar"/>
    <w:qFormat/>
    <w:rsid w:val="003948B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Ecofont_Spranq_eco_Sans" w:hAnsi="Ecofont_Spranq_eco_Sans" w:cs="Ecofont_Spranq_eco_Sans"/>
      <w:i/>
      <w:iCs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8116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FF409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FF4094"/>
    <w:pPr>
      <w:spacing w:after="140" w:line="276" w:lineRule="auto"/>
    </w:pPr>
  </w:style>
  <w:style w:type="paragraph" w:customStyle="1" w:styleId="citao2">
    <w:name w:val="citação 2"/>
    <w:basedOn w:val="Citao"/>
    <w:qFormat/>
    <w:rsid w:val="00FF4094"/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FF4094"/>
    <w:pPr>
      <w:spacing w:before="120" w:after="120" w:line="276" w:lineRule="auto"/>
      <w:jc w:val="both"/>
    </w:pPr>
    <w:rPr>
      <w:rFonts w:ascii="Arial" w:hAnsi="Arial" w:cs="Arial"/>
      <w:color w:val="000000"/>
    </w:rPr>
  </w:style>
  <w:style w:type="paragraph" w:customStyle="1" w:styleId="Nivel3">
    <w:name w:val="Nivel 3"/>
    <w:basedOn w:val="PargrafodaLista"/>
    <w:qFormat/>
    <w:rsid w:val="00FF4094"/>
    <w:pPr>
      <w:tabs>
        <w:tab w:val="left" w:pos="360"/>
      </w:tabs>
      <w:spacing w:before="120" w:after="120" w:line="276" w:lineRule="auto"/>
      <w:ind w:left="425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FF4094"/>
    <w:pPr>
      <w:ind w:left="2491" w:hanging="648"/>
    </w:pPr>
  </w:style>
  <w:style w:type="paragraph" w:customStyle="1" w:styleId="Nivel5">
    <w:name w:val="Nivel 5"/>
    <w:basedOn w:val="Nivel4"/>
    <w:qFormat/>
    <w:rsid w:val="00FF4094"/>
    <w:pPr>
      <w:ind w:left="3485" w:hanging="792"/>
    </w:pPr>
  </w:style>
  <w:style w:type="paragraph" w:customStyle="1" w:styleId="PADRO">
    <w:name w:val="PADRÃO"/>
    <w:qFormat/>
    <w:rsid w:val="00ED4D94"/>
    <w:pPr>
      <w:keepNext/>
      <w:widowControl w:val="0"/>
      <w:shd w:val="clear" w:color="auto" w:fill="FFFFFF"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73140B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73140B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western">
    <w:name w:val="western"/>
    <w:basedOn w:val="Normal"/>
    <w:qFormat/>
    <w:pPr>
      <w:spacing w:before="100" w:after="119"/>
    </w:pPr>
    <w:rPr>
      <w:sz w:val="24"/>
      <w:szCs w:val="24"/>
    </w:rPr>
  </w:style>
  <w:style w:type="paragraph" w:customStyle="1" w:styleId="LO-Normal">
    <w:name w:val="LO-Normal"/>
    <w:qFormat/>
  </w:style>
  <w:style w:type="paragraph" w:customStyle="1" w:styleId="Contedodatabela">
    <w:name w:val="Conteúdo da tabela"/>
    <w:basedOn w:val="Normal"/>
    <w:qFormat/>
    <w:pPr>
      <w:suppressLineNumbers/>
    </w:pPr>
  </w:style>
  <w:style w:type="table" w:styleId="Tabelacomgrade">
    <w:name w:val="Table Grid"/>
    <w:basedOn w:val="Tabelanormal"/>
    <w:uiPriority w:val="39"/>
    <w:rsid w:val="00B530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ortaltransparencia.gov.br/sancoes/cne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ortaldatransparencia.gov.br/cei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8" ma:contentTypeDescription="Create a new document." ma:contentTypeScope="" ma:versionID="37762aade61970cea1f26aae188e6c54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5b255f0827b1b01c62b300cf1fb7085a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90AF1C-E198-4DFA-BE03-1E892BD04F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9C7A7E-5F9A-4C66-A1B6-105A203E5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37446F-06E5-46E0-84F0-A1DE8612EA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7705C9-2C68-43AC-8C5A-67853478F5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7</Pages>
  <Words>3430</Words>
  <Characters>18525</Characters>
  <Application>Microsoft Office Word</Application>
  <DocSecurity>0</DocSecurity>
  <Lines>154</Lines>
  <Paragraphs>43</Paragraphs>
  <ScaleCrop>false</ScaleCrop>
  <Company/>
  <LinksUpToDate>false</LinksUpToDate>
  <CharactersWithSpaces>21912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Ali Tarif</dc:creator>
  <dc:description/>
  <cp:lastModifiedBy>wagner Nunes</cp:lastModifiedBy>
  <cp:revision>34</cp:revision>
  <cp:lastPrinted>2023-02-27T13:05:00Z</cp:lastPrinted>
  <dcterms:created xsi:type="dcterms:W3CDTF">2022-07-02T17:53:00Z</dcterms:created>
  <dcterms:modified xsi:type="dcterms:W3CDTF">2023-03-10T13:31:00Z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